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8A" w:rsidRPr="00572A5E" w:rsidRDefault="0027138A" w:rsidP="002A39E4">
      <w:pPr>
        <w:ind w:left="709"/>
        <w:jc w:val="center"/>
        <w:rPr>
          <w:rFonts w:ascii="Times New Roman" w:eastAsia="標楷體" w:hAnsi="Times New Roman"/>
          <w:b/>
          <w:sz w:val="36"/>
          <w:szCs w:val="36"/>
        </w:rPr>
      </w:pPr>
      <w:r w:rsidRPr="00572A5E">
        <w:rPr>
          <w:rFonts w:ascii="Times New Roman" w:eastAsia="標楷體" w:hAnsi="Times New Roman"/>
          <w:b/>
          <w:sz w:val="36"/>
          <w:szCs w:val="36"/>
        </w:rPr>
        <w:t>IFRS 13</w:t>
      </w:r>
      <w:r w:rsidR="0050620D">
        <w:rPr>
          <w:rFonts w:ascii="Times New Roman" w:eastAsia="標楷體" w:hAnsi="標楷體" w:hint="eastAsia"/>
          <w:b/>
          <w:sz w:val="36"/>
          <w:szCs w:val="36"/>
        </w:rPr>
        <w:t xml:space="preserve">  </w:t>
      </w:r>
      <w:r w:rsidRPr="00572A5E">
        <w:rPr>
          <w:rFonts w:ascii="Times New Roman" w:eastAsia="標楷體" w:hAnsi="Times New Roman"/>
          <w:b/>
          <w:sz w:val="36"/>
          <w:szCs w:val="36"/>
        </w:rPr>
        <w:t>CVA</w:t>
      </w:r>
      <w:r w:rsidR="0050620D">
        <w:rPr>
          <w:rFonts w:ascii="Times New Roman" w:eastAsia="標楷體" w:hAnsi="Times New Roman" w:hint="eastAsia"/>
          <w:b/>
          <w:sz w:val="36"/>
          <w:szCs w:val="36"/>
        </w:rPr>
        <w:t>及</w:t>
      </w:r>
      <w:r w:rsidRPr="00572A5E">
        <w:rPr>
          <w:rFonts w:ascii="Times New Roman" w:eastAsia="標楷體" w:hAnsi="Times New Roman"/>
          <w:b/>
          <w:sz w:val="36"/>
          <w:szCs w:val="36"/>
        </w:rPr>
        <w:t>DVA</w:t>
      </w:r>
      <w:r w:rsidRPr="00572A5E">
        <w:rPr>
          <w:rFonts w:ascii="Times New Roman" w:eastAsia="標楷體" w:hAnsi="標楷體" w:hint="eastAsia"/>
          <w:b/>
          <w:sz w:val="36"/>
          <w:szCs w:val="36"/>
        </w:rPr>
        <w:t>相關揭露指引</w:t>
      </w:r>
    </w:p>
    <w:p w:rsidR="0027138A" w:rsidRPr="00572A5E" w:rsidRDefault="0027138A" w:rsidP="0027138A">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前言</w:t>
      </w:r>
    </w:p>
    <w:p w:rsidR="00D37130" w:rsidRDefault="0059408C" w:rsidP="008A3E0A">
      <w:pPr>
        <w:pStyle w:val="1"/>
        <w:ind w:leftChars="262" w:left="629" w:firstLineChars="1" w:firstLine="3"/>
        <w:jc w:val="both"/>
        <w:rPr>
          <w:rFonts w:ascii="Times New Roman" w:eastAsia="標楷體" w:hAnsi="Times New Roman"/>
          <w:sz w:val="32"/>
          <w:szCs w:val="32"/>
        </w:rPr>
      </w:pPr>
      <w:r>
        <w:rPr>
          <w:rFonts w:ascii="Times New Roman" w:eastAsia="標楷體" w:hAnsi="Times New Roman" w:hint="eastAsia"/>
          <w:sz w:val="32"/>
          <w:szCs w:val="32"/>
        </w:rPr>
        <w:t>IFRS 13</w:t>
      </w:r>
      <w:r>
        <w:rPr>
          <w:rFonts w:ascii="Times New Roman" w:eastAsia="標楷體" w:hAnsi="Times New Roman" w:hint="eastAsia"/>
          <w:sz w:val="32"/>
          <w:szCs w:val="32"/>
        </w:rPr>
        <w:t>於第</w:t>
      </w:r>
      <w:r>
        <w:rPr>
          <w:rFonts w:ascii="Times New Roman" w:eastAsia="標楷體" w:hAnsi="Times New Roman" w:hint="eastAsia"/>
          <w:sz w:val="32"/>
          <w:szCs w:val="32"/>
        </w:rPr>
        <w:t>42</w:t>
      </w:r>
      <w:r>
        <w:rPr>
          <w:rFonts w:ascii="Times New Roman" w:eastAsia="標楷體" w:hAnsi="Times New Roman" w:hint="eastAsia"/>
          <w:sz w:val="32"/>
          <w:szCs w:val="32"/>
        </w:rPr>
        <w:t>段規定公允價值應反映不履約風險之影響，</w:t>
      </w:r>
      <w:r w:rsidR="0027138A" w:rsidRPr="00EB24E4">
        <w:rPr>
          <w:rFonts w:ascii="Times New Roman" w:eastAsia="標楷體" w:hAnsi="Times New Roman" w:hint="eastAsia"/>
          <w:sz w:val="32"/>
          <w:szCs w:val="32"/>
        </w:rPr>
        <w:t>不履約風險在</w:t>
      </w:r>
      <w:r w:rsidR="0027138A" w:rsidRPr="00EB24E4">
        <w:rPr>
          <w:rFonts w:ascii="Times New Roman" w:eastAsia="標楷體" w:hAnsi="Times New Roman" w:hint="eastAsia"/>
          <w:sz w:val="32"/>
          <w:szCs w:val="32"/>
        </w:rPr>
        <w:t>2008</w:t>
      </w:r>
      <w:r w:rsidR="0027138A" w:rsidRPr="00EB24E4">
        <w:rPr>
          <w:rFonts w:ascii="Times New Roman" w:eastAsia="標楷體" w:hAnsi="Times New Roman" w:hint="eastAsia"/>
          <w:sz w:val="32"/>
          <w:szCs w:val="32"/>
        </w:rPr>
        <w:t>年金融風暴期間受到重視，</w:t>
      </w:r>
      <w:r w:rsidR="00C80EF5">
        <w:rPr>
          <w:rFonts w:ascii="Times New Roman" w:eastAsia="標楷體" w:hAnsi="Times New Roman" w:hint="eastAsia"/>
          <w:sz w:val="32"/>
          <w:szCs w:val="32"/>
        </w:rPr>
        <w:t>從事國際業務之</w:t>
      </w:r>
      <w:r w:rsidR="0027138A" w:rsidRPr="00EB24E4">
        <w:rPr>
          <w:rFonts w:ascii="Times New Roman" w:eastAsia="標楷體" w:hAnsi="Times New Roman" w:hint="eastAsia"/>
          <w:sz w:val="32"/>
          <w:szCs w:val="32"/>
        </w:rPr>
        <w:t>金融機構</w:t>
      </w:r>
      <w:r w:rsidR="00C80EF5">
        <w:rPr>
          <w:rFonts w:ascii="Times New Roman" w:eastAsia="標楷體" w:hAnsi="Times New Roman" w:hint="eastAsia"/>
          <w:sz w:val="32"/>
          <w:szCs w:val="32"/>
        </w:rPr>
        <w:t>其</w:t>
      </w:r>
      <w:r w:rsidR="0027138A" w:rsidRPr="00EB24E4">
        <w:rPr>
          <w:rFonts w:ascii="Times New Roman" w:eastAsia="標楷體" w:hAnsi="Times New Roman" w:hint="eastAsia"/>
          <w:sz w:val="32"/>
          <w:szCs w:val="32"/>
        </w:rPr>
        <w:t>管理實務主要著重於非經集中交易市場</w:t>
      </w:r>
      <w:r w:rsidR="004869C8">
        <w:rPr>
          <w:rFonts w:ascii="Times New Roman" w:eastAsia="標楷體" w:hAnsi="Times New Roman" w:hint="eastAsia"/>
          <w:sz w:val="32"/>
          <w:szCs w:val="32"/>
        </w:rPr>
        <w:t>的</w:t>
      </w:r>
      <w:r w:rsidR="0027138A" w:rsidRPr="00EB24E4">
        <w:rPr>
          <w:rFonts w:ascii="Times New Roman" w:eastAsia="標楷體" w:hAnsi="Times New Roman" w:hint="eastAsia"/>
          <w:sz w:val="32"/>
          <w:szCs w:val="32"/>
        </w:rPr>
        <w:t>交易，</w:t>
      </w:r>
      <w:r w:rsidR="00BB7BBC">
        <w:rPr>
          <w:rFonts w:ascii="Times New Roman" w:eastAsia="標楷體" w:hAnsi="Times New Roman" w:hint="eastAsia"/>
          <w:sz w:val="32"/>
          <w:szCs w:val="32"/>
        </w:rPr>
        <w:t>如針</w:t>
      </w:r>
      <w:r w:rsidR="004869C8">
        <w:rPr>
          <w:rFonts w:ascii="Times New Roman" w:eastAsia="標楷體" w:hAnsi="Times New Roman" w:hint="eastAsia"/>
          <w:sz w:val="32"/>
          <w:szCs w:val="32"/>
        </w:rPr>
        <w:t>對櫃檯買賣</w:t>
      </w:r>
      <w:r w:rsidR="004869C8">
        <w:rPr>
          <w:rFonts w:ascii="Times New Roman" w:eastAsia="標楷體" w:hAnsi="Times New Roman" w:hint="eastAsia"/>
          <w:sz w:val="32"/>
          <w:szCs w:val="32"/>
        </w:rPr>
        <w:t>(Over the counter</w:t>
      </w:r>
      <w:r w:rsidR="004869C8">
        <w:rPr>
          <w:rFonts w:ascii="Times New Roman" w:eastAsia="標楷體" w:hAnsi="Times New Roman" w:hint="eastAsia"/>
          <w:sz w:val="32"/>
          <w:szCs w:val="32"/>
        </w:rPr>
        <w:t>，</w:t>
      </w:r>
      <w:r w:rsidR="0027138A" w:rsidRPr="00EB24E4">
        <w:rPr>
          <w:rFonts w:ascii="Times New Roman" w:eastAsia="標楷體" w:hAnsi="Times New Roman" w:hint="eastAsia"/>
          <w:sz w:val="32"/>
          <w:szCs w:val="32"/>
        </w:rPr>
        <w:t>OTC)</w:t>
      </w:r>
      <w:r w:rsidR="003A3323">
        <w:rPr>
          <w:rFonts w:ascii="Times New Roman" w:eastAsia="標楷體" w:hAnsi="Times New Roman" w:hint="eastAsia"/>
          <w:sz w:val="32"/>
          <w:szCs w:val="32"/>
        </w:rPr>
        <w:t>衍生</w:t>
      </w:r>
      <w:r w:rsidR="0027138A" w:rsidRPr="00EB24E4">
        <w:rPr>
          <w:rFonts w:ascii="Times New Roman" w:eastAsia="標楷體" w:hAnsi="Times New Roman" w:hint="eastAsia"/>
          <w:sz w:val="32"/>
          <w:szCs w:val="32"/>
        </w:rPr>
        <w:t>工具之貸方評價調整</w:t>
      </w:r>
      <w:r w:rsidR="0027138A" w:rsidRPr="00572A5E">
        <w:rPr>
          <w:rFonts w:ascii="Times New Roman" w:eastAsia="標楷體" w:hAnsi="Times New Roman"/>
          <w:sz w:val="32"/>
          <w:szCs w:val="32"/>
        </w:rPr>
        <w:t>(Credit value adjustments, “CVA”)</w:t>
      </w:r>
      <w:r w:rsidR="0027138A">
        <w:rPr>
          <w:rFonts w:ascii="Times New Roman" w:eastAsia="標楷體" w:hAnsi="Times New Roman" w:hint="eastAsia"/>
          <w:sz w:val="32"/>
          <w:szCs w:val="32"/>
        </w:rPr>
        <w:t>、</w:t>
      </w:r>
      <w:r w:rsidR="0027138A" w:rsidRPr="00EB24E4">
        <w:rPr>
          <w:rFonts w:ascii="Times New Roman" w:eastAsia="標楷體" w:hAnsi="Times New Roman" w:hint="eastAsia"/>
          <w:sz w:val="32"/>
          <w:szCs w:val="32"/>
        </w:rPr>
        <w:t>借方評價調整</w:t>
      </w:r>
      <w:r w:rsidR="0027138A" w:rsidRPr="00572A5E">
        <w:rPr>
          <w:rFonts w:ascii="Times New Roman" w:eastAsia="標楷體" w:hAnsi="Times New Roman"/>
          <w:sz w:val="32"/>
          <w:szCs w:val="32"/>
        </w:rPr>
        <w:t>(Debit value adjustments, “DVA”)</w:t>
      </w:r>
      <w:r w:rsidR="00D37130">
        <w:rPr>
          <w:rFonts w:ascii="Times New Roman" w:eastAsia="標楷體" w:hAnsi="Times New Roman" w:hint="eastAsia"/>
          <w:sz w:val="32"/>
          <w:szCs w:val="32"/>
        </w:rPr>
        <w:t>之管理。</w:t>
      </w:r>
    </w:p>
    <w:p w:rsidR="0027138A" w:rsidRPr="00F36A0D" w:rsidRDefault="00D37130" w:rsidP="008A3E0A">
      <w:pPr>
        <w:pStyle w:val="1"/>
        <w:ind w:leftChars="262" w:left="629" w:firstLineChars="1" w:firstLine="3"/>
        <w:jc w:val="both"/>
        <w:rPr>
          <w:rFonts w:ascii="Times New Roman" w:eastAsia="標楷體" w:hAnsi="Times New Roman"/>
          <w:sz w:val="32"/>
          <w:szCs w:val="32"/>
        </w:rPr>
      </w:pPr>
      <w:r>
        <w:rPr>
          <w:rFonts w:ascii="Times New Roman" w:eastAsia="標楷體" w:hAnsi="Times New Roman" w:hint="eastAsia"/>
          <w:sz w:val="32"/>
          <w:szCs w:val="32"/>
        </w:rPr>
        <w:t>上述內容，</w:t>
      </w:r>
      <w:r w:rsidR="008A3E0A">
        <w:rPr>
          <w:rFonts w:ascii="Times New Roman" w:eastAsia="標楷體" w:hAnsi="Times New Roman" w:hint="eastAsia"/>
          <w:sz w:val="32"/>
          <w:szCs w:val="32"/>
        </w:rPr>
        <w:t>對於我國風險管理及會計實</w:t>
      </w:r>
      <w:r w:rsidR="004F7947">
        <w:rPr>
          <w:rFonts w:ascii="Times New Roman" w:eastAsia="標楷體" w:hAnsi="Times New Roman" w:hint="eastAsia"/>
          <w:sz w:val="32"/>
          <w:szCs w:val="32"/>
        </w:rPr>
        <w:t>務</w:t>
      </w:r>
      <w:r>
        <w:rPr>
          <w:rFonts w:ascii="Times New Roman" w:eastAsia="標楷體" w:hAnsi="Times New Roman" w:hint="eastAsia"/>
          <w:sz w:val="32"/>
          <w:szCs w:val="32"/>
        </w:rPr>
        <w:t>係</w:t>
      </w:r>
      <w:r w:rsidR="004F7947">
        <w:rPr>
          <w:rFonts w:ascii="Times New Roman" w:eastAsia="標楷體" w:hAnsi="Times New Roman" w:hint="eastAsia"/>
          <w:sz w:val="32"/>
          <w:szCs w:val="32"/>
        </w:rPr>
        <w:t>屬較新之概念，</w:t>
      </w:r>
      <w:r w:rsidR="0027138A">
        <w:rPr>
          <w:rFonts w:ascii="Times New Roman" w:eastAsia="標楷體" w:hAnsi="Times New Roman" w:hint="eastAsia"/>
          <w:sz w:val="32"/>
          <w:szCs w:val="32"/>
        </w:rPr>
        <w:t>本指引將提供</w:t>
      </w:r>
      <w:r w:rsidR="0059408C">
        <w:rPr>
          <w:rFonts w:ascii="Times New Roman" w:eastAsia="標楷體" w:hAnsi="Times New Roman" w:hint="eastAsia"/>
          <w:sz w:val="32"/>
          <w:szCs w:val="32"/>
        </w:rPr>
        <w:t>於適用</w:t>
      </w:r>
      <w:r w:rsidR="0059408C">
        <w:rPr>
          <w:rFonts w:ascii="Times New Roman" w:eastAsia="標楷體" w:hAnsi="Times New Roman" w:hint="eastAsia"/>
          <w:sz w:val="32"/>
          <w:szCs w:val="32"/>
        </w:rPr>
        <w:t>IFRS 13</w:t>
      </w:r>
      <w:r w:rsidR="0059408C">
        <w:rPr>
          <w:rFonts w:ascii="Times New Roman" w:eastAsia="標楷體" w:hAnsi="Times New Roman" w:hint="eastAsia"/>
          <w:sz w:val="32"/>
          <w:szCs w:val="32"/>
        </w:rPr>
        <w:t>時，</w:t>
      </w:r>
      <w:r w:rsidR="0059408C">
        <w:rPr>
          <w:rFonts w:ascii="Times New Roman" w:eastAsia="標楷體" w:hAnsi="Times New Roman" w:hint="eastAsia"/>
          <w:sz w:val="32"/>
          <w:szCs w:val="32"/>
        </w:rPr>
        <w:t>CVA</w:t>
      </w:r>
      <w:r w:rsidR="0059408C">
        <w:rPr>
          <w:rFonts w:ascii="Times New Roman" w:eastAsia="標楷體" w:hAnsi="Times New Roman" w:hint="eastAsia"/>
          <w:sz w:val="32"/>
          <w:szCs w:val="32"/>
        </w:rPr>
        <w:t>及</w:t>
      </w:r>
      <w:r w:rsidR="0059408C">
        <w:rPr>
          <w:rFonts w:ascii="Times New Roman" w:eastAsia="標楷體" w:hAnsi="Times New Roman" w:hint="eastAsia"/>
          <w:sz w:val="32"/>
          <w:szCs w:val="32"/>
        </w:rPr>
        <w:t>DVA</w:t>
      </w:r>
      <w:r w:rsidR="0059408C">
        <w:rPr>
          <w:rFonts w:ascii="Times New Roman" w:eastAsia="標楷體" w:hAnsi="Times New Roman" w:hint="eastAsia"/>
          <w:sz w:val="32"/>
          <w:szCs w:val="32"/>
        </w:rPr>
        <w:t>之</w:t>
      </w:r>
      <w:r w:rsidR="0027138A" w:rsidRPr="00EB24E4">
        <w:rPr>
          <w:rFonts w:ascii="Times New Roman" w:eastAsia="標楷體" w:hAnsi="Times New Roman" w:hint="eastAsia"/>
          <w:sz w:val="32"/>
          <w:szCs w:val="32"/>
        </w:rPr>
        <w:t>相關計算及</w:t>
      </w:r>
      <w:proofErr w:type="gramStart"/>
      <w:r w:rsidR="0027138A" w:rsidRPr="00EB24E4">
        <w:rPr>
          <w:rFonts w:ascii="Times New Roman" w:eastAsia="標楷體" w:hAnsi="Times New Roman" w:hint="eastAsia"/>
          <w:sz w:val="32"/>
          <w:szCs w:val="32"/>
        </w:rPr>
        <w:t>揭露</w:t>
      </w:r>
      <w:r w:rsidR="0059408C">
        <w:rPr>
          <w:rFonts w:ascii="Times New Roman" w:eastAsia="標楷體" w:hAnsi="Times New Roman" w:hint="eastAsia"/>
          <w:sz w:val="32"/>
          <w:szCs w:val="32"/>
        </w:rPr>
        <w:t>釋例</w:t>
      </w:r>
      <w:proofErr w:type="gramEnd"/>
      <w:r w:rsidR="0059408C">
        <w:rPr>
          <w:rFonts w:ascii="Times New Roman" w:eastAsia="標楷體" w:hAnsi="Times New Roman" w:hint="eastAsia"/>
          <w:sz w:val="32"/>
          <w:szCs w:val="32"/>
        </w:rPr>
        <w:t>，</w:t>
      </w:r>
      <w:r>
        <w:rPr>
          <w:rFonts w:ascii="Times New Roman" w:eastAsia="標楷體" w:hAnsi="Times New Roman" w:hint="eastAsia"/>
          <w:sz w:val="32"/>
          <w:szCs w:val="32"/>
        </w:rPr>
        <w:t>其</w:t>
      </w:r>
      <w:r w:rsidR="0059408C">
        <w:rPr>
          <w:rFonts w:ascii="Times New Roman" w:eastAsia="標楷體" w:hAnsi="Times New Roman" w:hint="eastAsia"/>
          <w:sz w:val="32"/>
          <w:szCs w:val="32"/>
        </w:rPr>
        <w:t>相關定義說明係供參考，企業應依實際狀況予以調整</w:t>
      </w:r>
      <w:r w:rsidR="0059408C" w:rsidRPr="00EB24E4">
        <w:rPr>
          <w:rFonts w:ascii="Times New Roman" w:eastAsia="標楷體" w:hAnsi="Times New Roman" w:hint="eastAsia"/>
          <w:sz w:val="32"/>
          <w:szCs w:val="32"/>
        </w:rPr>
        <w:t>。</w:t>
      </w:r>
    </w:p>
    <w:p w:rsidR="0027138A" w:rsidRPr="00572A5E" w:rsidRDefault="0027138A" w:rsidP="0027138A">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指引內容</w:t>
      </w:r>
    </w:p>
    <w:p w:rsidR="0027138A" w:rsidRPr="00572A5E" w:rsidRDefault="00D37130" w:rsidP="008A3E0A">
      <w:pPr>
        <w:numPr>
          <w:ilvl w:val="0"/>
          <w:numId w:val="2"/>
        </w:numPr>
        <w:tabs>
          <w:tab w:val="clear" w:pos="375"/>
          <w:tab w:val="num" w:pos="993"/>
        </w:tabs>
        <w:spacing w:line="360" w:lineRule="auto"/>
        <w:ind w:left="993" w:hanging="426"/>
        <w:jc w:val="both"/>
        <w:rPr>
          <w:rFonts w:ascii="Times New Roman" w:eastAsia="標楷體" w:hAnsi="Times New Roman"/>
          <w:sz w:val="32"/>
          <w:szCs w:val="32"/>
        </w:rPr>
      </w:pPr>
      <w:r>
        <w:rPr>
          <w:rFonts w:ascii="Times New Roman" w:eastAsia="標楷體" w:hAnsi="Times New Roman" w:hint="eastAsia"/>
          <w:sz w:val="32"/>
          <w:szCs w:val="32"/>
        </w:rPr>
        <w:t>貸方評價調整</w:t>
      </w:r>
      <w:r>
        <w:rPr>
          <w:rFonts w:ascii="Times New Roman" w:eastAsia="標楷體" w:hAnsi="Times New Roman" w:hint="eastAsia"/>
          <w:sz w:val="32"/>
          <w:szCs w:val="32"/>
        </w:rPr>
        <w:t>(</w:t>
      </w:r>
      <w:r w:rsidR="0027138A" w:rsidRPr="00572A5E">
        <w:rPr>
          <w:rFonts w:ascii="Times New Roman" w:eastAsia="標楷體" w:hAnsi="Times New Roman"/>
          <w:sz w:val="32"/>
          <w:szCs w:val="32"/>
        </w:rPr>
        <w:t>CVA</w:t>
      </w:r>
      <w:r>
        <w:rPr>
          <w:rFonts w:ascii="Times New Roman" w:eastAsia="標楷體" w:hAnsi="Times New Roman" w:hint="eastAsia"/>
          <w:sz w:val="32"/>
          <w:szCs w:val="32"/>
        </w:rPr>
        <w:t>)</w:t>
      </w:r>
      <w:r w:rsidR="0027138A" w:rsidRPr="00572A5E">
        <w:rPr>
          <w:rFonts w:ascii="Times New Roman" w:eastAsia="標楷體" w:hAnsi="標楷體" w:hint="eastAsia"/>
          <w:sz w:val="32"/>
          <w:szCs w:val="32"/>
        </w:rPr>
        <w:t>及</w:t>
      </w:r>
      <w:r>
        <w:rPr>
          <w:rFonts w:ascii="Times New Roman" w:eastAsia="標楷體" w:hAnsi="標楷體" w:hint="eastAsia"/>
          <w:sz w:val="32"/>
          <w:szCs w:val="32"/>
        </w:rPr>
        <w:t>借方評價調整</w:t>
      </w:r>
      <w:r>
        <w:rPr>
          <w:rFonts w:ascii="Times New Roman" w:eastAsia="標楷體" w:hAnsi="標楷體" w:hint="eastAsia"/>
          <w:sz w:val="32"/>
          <w:szCs w:val="32"/>
        </w:rPr>
        <w:t>(</w:t>
      </w:r>
      <w:r w:rsidR="0027138A" w:rsidRPr="00572A5E">
        <w:rPr>
          <w:rFonts w:ascii="Times New Roman" w:eastAsia="標楷體" w:hAnsi="Times New Roman"/>
          <w:sz w:val="32"/>
          <w:szCs w:val="32"/>
        </w:rPr>
        <w:t>DVA</w:t>
      </w:r>
      <w:r>
        <w:rPr>
          <w:rFonts w:ascii="Times New Roman" w:eastAsia="標楷體" w:hAnsi="Times New Roman" w:hint="eastAsia"/>
          <w:sz w:val="32"/>
          <w:szCs w:val="32"/>
        </w:rPr>
        <w:t>)</w:t>
      </w:r>
      <w:proofErr w:type="gramStart"/>
      <w:r w:rsidR="00B064B0" w:rsidRPr="00B064B0">
        <w:rPr>
          <w:rFonts w:ascii="Times New Roman" w:eastAsia="標楷體" w:hAnsi="標楷體" w:hint="eastAsia"/>
          <w:sz w:val="32"/>
          <w:szCs w:val="32"/>
        </w:rPr>
        <w:t>均為估計</w:t>
      </w:r>
      <w:proofErr w:type="gramEnd"/>
      <w:r w:rsidR="00B064B0" w:rsidRPr="00B064B0">
        <w:rPr>
          <w:rFonts w:ascii="Times New Roman" w:eastAsia="標楷體" w:hAnsi="標楷體" w:hint="eastAsia"/>
          <w:sz w:val="32"/>
          <w:szCs w:val="32"/>
        </w:rPr>
        <w:t>損失之</w:t>
      </w:r>
      <w:r w:rsidR="0027138A" w:rsidRPr="00B064B0">
        <w:rPr>
          <w:rFonts w:ascii="Times New Roman" w:eastAsia="標楷體" w:hAnsi="標楷體" w:hint="eastAsia"/>
          <w:sz w:val="32"/>
          <w:szCs w:val="32"/>
        </w:rPr>
        <w:t>概念</w:t>
      </w:r>
      <w:r w:rsidR="0027138A" w:rsidRPr="00572A5E">
        <w:rPr>
          <w:rFonts w:ascii="Times New Roman" w:eastAsia="標楷體" w:hAnsi="標楷體" w:hint="eastAsia"/>
          <w:sz w:val="32"/>
          <w:szCs w:val="32"/>
        </w:rPr>
        <w:t>，</w:t>
      </w:r>
      <w:r>
        <w:rPr>
          <w:rFonts w:ascii="Times New Roman" w:eastAsia="標楷體" w:hAnsi="標楷體" w:hint="eastAsia"/>
          <w:sz w:val="32"/>
          <w:szCs w:val="32"/>
        </w:rPr>
        <w:t>其計算方式為</w:t>
      </w:r>
      <w:r w:rsidR="0027138A" w:rsidRPr="00572A5E">
        <w:rPr>
          <w:rFonts w:ascii="Times New Roman" w:eastAsia="標楷體" w:hAnsi="標楷體" w:hint="eastAsia"/>
          <w:sz w:val="32"/>
          <w:szCs w:val="32"/>
        </w:rPr>
        <w:t>違約機率</w:t>
      </w:r>
      <w:r w:rsidR="0027138A" w:rsidRPr="00572A5E">
        <w:rPr>
          <w:rFonts w:ascii="Times New Roman" w:eastAsia="標楷體" w:hAnsi="Times New Roman"/>
          <w:sz w:val="32"/>
          <w:szCs w:val="32"/>
        </w:rPr>
        <w:t xml:space="preserve">(Probability of default, </w:t>
      </w:r>
      <w:r w:rsidR="0027138A">
        <w:rPr>
          <w:rFonts w:ascii="Times New Roman" w:eastAsia="標楷體" w:hAnsi="Times New Roman"/>
          <w:sz w:val="32"/>
          <w:szCs w:val="32"/>
        </w:rPr>
        <w:t>“</w:t>
      </w:r>
      <w:r w:rsidR="0027138A" w:rsidRPr="00572A5E">
        <w:rPr>
          <w:rFonts w:ascii="Times New Roman" w:eastAsia="標楷體" w:hAnsi="Times New Roman"/>
          <w:sz w:val="32"/>
          <w:szCs w:val="32"/>
        </w:rPr>
        <w:t>PD”)</w:t>
      </w:r>
      <w:r w:rsidR="00BB6881">
        <w:rPr>
          <w:rFonts w:ascii="Times New Roman" w:eastAsia="標楷體" w:hAnsi="標楷體" w:hint="eastAsia"/>
          <w:sz w:val="32"/>
          <w:szCs w:val="32"/>
        </w:rPr>
        <w:t>乘以違約</w:t>
      </w:r>
      <w:r w:rsidR="0027138A" w:rsidRPr="00572A5E">
        <w:rPr>
          <w:rFonts w:ascii="Times New Roman" w:eastAsia="標楷體" w:hAnsi="標楷體" w:hint="eastAsia"/>
          <w:sz w:val="32"/>
          <w:szCs w:val="32"/>
        </w:rPr>
        <w:t>損失率</w:t>
      </w:r>
      <w:r w:rsidR="0027138A" w:rsidRPr="00572A5E">
        <w:rPr>
          <w:rFonts w:ascii="Times New Roman" w:eastAsia="標楷體" w:hAnsi="Times New Roman"/>
          <w:sz w:val="32"/>
          <w:szCs w:val="32"/>
        </w:rPr>
        <w:t>(Loss given default, “LGD”)</w:t>
      </w:r>
      <w:r w:rsidR="00BB6881">
        <w:rPr>
          <w:rFonts w:ascii="Times New Roman" w:eastAsia="標楷體" w:hAnsi="標楷體" w:hint="eastAsia"/>
          <w:sz w:val="32"/>
          <w:szCs w:val="32"/>
        </w:rPr>
        <w:t>乘以</w:t>
      </w:r>
      <w:proofErr w:type="gramStart"/>
      <w:r w:rsidR="00BB6881">
        <w:rPr>
          <w:rFonts w:ascii="Times New Roman" w:eastAsia="標楷體" w:hAnsi="標楷體" w:hint="eastAsia"/>
          <w:sz w:val="32"/>
          <w:szCs w:val="32"/>
        </w:rPr>
        <w:t>違約</w:t>
      </w:r>
      <w:r w:rsidR="0027138A" w:rsidRPr="00572A5E">
        <w:rPr>
          <w:rFonts w:ascii="Times New Roman" w:eastAsia="標楷體" w:hAnsi="標楷體" w:hint="eastAsia"/>
          <w:sz w:val="32"/>
          <w:szCs w:val="32"/>
        </w:rPr>
        <w:t>暴險金額</w:t>
      </w:r>
      <w:proofErr w:type="gramEnd"/>
      <w:r w:rsidR="0027138A" w:rsidRPr="00572A5E">
        <w:rPr>
          <w:rFonts w:ascii="Times New Roman" w:eastAsia="標楷體" w:hAnsi="Times New Roman"/>
          <w:sz w:val="32"/>
          <w:szCs w:val="32"/>
        </w:rPr>
        <w:t>(Exposure at default, “EAD”)</w:t>
      </w:r>
      <w:r w:rsidR="0027138A" w:rsidRPr="00572A5E">
        <w:rPr>
          <w:rFonts w:ascii="Times New Roman" w:eastAsia="標楷體" w:hAnsi="標楷體" w:hint="eastAsia"/>
          <w:sz w:val="32"/>
          <w:szCs w:val="32"/>
        </w:rPr>
        <w:t>。</w:t>
      </w:r>
    </w:p>
    <w:p w:rsidR="0027138A" w:rsidRPr="00572A5E" w:rsidRDefault="0027138A" w:rsidP="008A3E0A">
      <w:pPr>
        <w:numPr>
          <w:ilvl w:val="0"/>
          <w:numId w:val="2"/>
        </w:numPr>
        <w:spacing w:line="360" w:lineRule="auto"/>
        <w:ind w:firstLine="192"/>
        <w:jc w:val="both"/>
        <w:rPr>
          <w:rFonts w:ascii="Times New Roman" w:eastAsia="標楷體" w:hAnsi="Times New Roman"/>
          <w:sz w:val="32"/>
          <w:szCs w:val="32"/>
        </w:rPr>
      </w:pPr>
      <w:r w:rsidRPr="00572A5E">
        <w:rPr>
          <w:rFonts w:ascii="Times New Roman" w:eastAsia="標楷體" w:hAnsi="標楷體" w:hint="eastAsia"/>
          <w:sz w:val="32"/>
          <w:szCs w:val="32"/>
        </w:rPr>
        <w:t>違約機率</w:t>
      </w:r>
      <w:r w:rsidRPr="00572A5E">
        <w:rPr>
          <w:rFonts w:ascii="Times New Roman" w:eastAsia="標楷體" w:hAnsi="Times New Roman"/>
          <w:sz w:val="32"/>
          <w:szCs w:val="32"/>
        </w:rPr>
        <w:t>(PD)</w:t>
      </w:r>
      <w:r w:rsidR="00D37130">
        <w:rPr>
          <w:rFonts w:ascii="Times New Roman" w:eastAsia="標楷體" w:hAnsi="Times New Roman" w:hint="eastAsia"/>
          <w:sz w:val="32"/>
          <w:szCs w:val="32"/>
        </w:rPr>
        <w:t>之計算</w:t>
      </w:r>
      <w:r w:rsidRPr="00572A5E">
        <w:rPr>
          <w:rFonts w:ascii="Times New Roman" w:eastAsia="標楷體" w:hAnsi="標楷體" w:hint="eastAsia"/>
          <w:sz w:val="32"/>
          <w:szCs w:val="32"/>
        </w:rPr>
        <w:t>可參考以下數據：</w:t>
      </w:r>
    </w:p>
    <w:p w:rsidR="00CD4540" w:rsidRPr="00EB5E14" w:rsidRDefault="00CD4540" w:rsidP="008A3E0A">
      <w:pPr>
        <w:numPr>
          <w:ilvl w:val="1"/>
          <w:numId w:val="2"/>
        </w:numPr>
        <w:tabs>
          <w:tab w:val="num" w:pos="1418"/>
        </w:tabs>
        <w:spacing w:line="360" w:lineRule="auto"/>
        <w:ind w:left="1418" w:hanging="567"/>
        <w:jc w:val="both"/>
        <w:rPr>
          <w:rFonts w:ascii="Times New Roman" w:eastAsia="標楷體" w:hAnsi="Times New Roman"/>
          <w:color w:val="000000" w:themeColor="text1"/>
          <w:sz w:val="32"/>
          <w:szCs w:val="32"/>
        </w:rPr>
      </w:pPr>
      <w:r w:rsidRPr="00EB5E14">
        <w:rPr>
          <w:rFonts w:ascii="Times New Roman" w:eastAsia="標楷體" w:hAnsi="標楷體" w:hint="eastAsia"/>
          <w:color w:val="000000" w:themeColor="text1"/>
          <w:sz w:val="32"/>
          <w:szCs w:val="32"/>
        </w:rPr>
        <w:t>可從市場上信用違約交換</w:t>
      </w:r>
      <w:r w:rsidRPr="00EB5E14">
        <w:rPr>
          <w:rFonts w:ascii="Times New Roman" w:eastAsia="標楷體" w:hAnsi="標楷體" w:hint="eastAsia"/>
          <w:color w:val="000000" w:themeColor="text1"/>
          <w:sz w:val="32"/>
          <w:szCs w:val="32"/>
        </w:rPr>
        <w:t>(Credit Default Swap)</w:t>
      </w:r>
      <w:r w:rsidRPr="00EB5E14">
        <w:rPr>
          <w:rFonts w:ascii="Times New Roman" w:eastAsia="標楷體" w:hAnsi="標楷體" w:hint="eastAsia"/>
          <w:color w:val="000000" w:themeColor="text1"/>
          <w:sz w:val="32"/>
          <w:szCs w:val="32"/>
        </w:rPr>
        <w:t>價差之期限結構</w:t>
      </w:r>
      <w:r w:rsidRPr="00EB5E14">
        <w:rPr>
          <w:rFonts w:ascii="Times New Roman" w:eastAsia="標楷體" w:hAnsi="標楷體" w:hint="eastAsia"/>
          <w:color w:val="000000" w:themeColor="text1"/>
          <w:sz w:val="32"/>
          <w:szCs w:val="32"/>
        </w:rPr>
        <w:t>(Term Structure)</w:t>
      </w:r>
      <w:r w:rsidRPr="00EB5E14">
        <w:rPr>
          <w:rFonts w:ascii="Times New Roman" w:eastAsia="標楷體" w:hAnsi="標楷體" w:hint="eastAsia"/>
          <w:color w:val="000000" w:themeColor="text1"/>
          <w:sz w:val="32"/>
          <w:szCs w:val="32"/>
        </w:rPr>
        <w:t>推算。</w:t>
      </w:r>
    </w:p>
    <w:p w:rsidR="0027138A" w:rsidRPr="00572A5E" w:rsidRDefault="0027138A" w:rsidP="008A3E0A">
      <w:pPr>
        <w:numPr>
          <w:ilvl w:val="1"/>
          <w:numId w:val="2"/>
        </w:numPr>
        <w:tabs>
          <w:tab w:val="num" w:pos="1418"/>
        </w:tabs>
        <w:spacing w:line="360" w:lineRule="auto"/>
        <w:ind w:left="1418" w:hanging="567"/>
        <w:jc w:val="both"/>
        <w:rPr>
          <w:rFonts w:ascii="Times New Roman" w:eastAsia="標楷體" w:hAnsi="Times New Roman"/>
          <w:sz w:val="32"/>
          <w:szCs w:val="32"/>
        </w:rPr>
      </w:pPr>
      <w:r w:rsidRPr="00572A5E">
        <w:rPr>
          <w:rFonts w:ascii="Times New Roman" w:eastAsia="標楷體" w:hAnsi="標楷體" w:hint="eastAsia"/>
          <w:sz w:val="32"/>
          <w:szCs w:val="32"/>
        </w:rPr>
        <w:t>交易對手或企業自身有外部評等者，可參考外部評等機構</w:t>
      </w:r>
      <w:r w:rsidRPr="00572A5E">
        <w:rPr>
          <w:rFonts w:ascii="Times New Roman" w:eastAsia="標楷體" w:hAnsi="標楷體" w:hint="eastAsia"/>
          <w:sz w:val="32"/>
          <w:szCs w:val="32"/>
        </w:rPr>
        <w:lastRenderedPageBreak/>
        <w:t>定期公告</w:t>
      </w:r>
      <w:proofErr w:type="gramStart"/>
      <w:r w:rsidRPr="00572A5E">
        <w:rPr>
          <w:rFonts w:ascii="Times New Roman" w:eastAsia="標楷體" w:hAnsi="標楷體" w:hint="eastAsia"/>
          <w:sz w:val="32"/>
          <w:szCs w:val="32"/>
        </w:rPr>
        <w:t>之各評等</w:t>
      </w:r>
      <w:proofErr w:type="gramEnd"/>
      <w:r w:rsidR="00D37130">
        <w:rPr>
          <w:rFonts w:ascii="Times New Roman" w:eastAsia="標楷體" w:hAnsi="標楷體" w:hint="eastAsia"/>
          <w:sz w:val="32"/>
          <w:szCs w:val="32"/>
        </w:rPr>
        <w:t>所對應</w:t>
      </w:r>
      <w:r w:rsidRPr="00572A5E">
        <w:rPr>
          <w:rFonts w:ascii="Times New Roman" w:eastAsia="標楷體" w:hAnsi="標楷體" w:hint="eastAsia"/>
          <w:sz w:val="32"/>
          <w:szCs w:val="32"/>
        </w:rPr>
        <w:t>違約機率。</w:t>
      </w:r>
    </w:p>
    <w:p w:rsidR="0027138A" w:rsidRPr="00572A5E" w:rsidRDefault="0027138A" w:rsidP="008A3E0A">
      <w:pPr>
        <w:numPr>
          <w:ilvl w:val="1"/>
          <w:numId w:val="2"/>
        </w:numPr>
        <w:tabs>
          <w:tab w:val="num" w:pos="1418"/>
        </w:tabs>
        <w:spacing w:line="360" w:lineRule="auto"/>
        <w:ind w:left="1418" w:hanging="567"/>
        <w:jc w:val="both"/>
        <w:rPr>
          <w:rFonts w:ascii="Times New Roman" w:eastAsia="標楷體" w:hAnsi="Times New Roman"/>
          <w:sz w:val="32"/>
          <w:szCs w:val="32"/>
        </w:rPr>
      </w:pPr>
      <w:r w:rsidRPr="00572A5E">
        <w:rPr>
          <w:rFonts w:ascii="Times New Roman" w:eastAsia="標楷體" w:hAnsi="標楷體" w:hint="eastAsia"/>
          <w:sz w:val="32"/>
          <w:szCs w:val="32"/>
        </w:rPr>
        <w:t>交易對手</w:t>
      </w:r>
      <w:r w:rsidR="00D37130">
        <w:rPr>
          <w:rFonts w:ascii="Times New Roman" w:eastAsia="標楷體" w:hAnsi="標楷體" w:hint="eastAsia"/>
          <w:sz w:val="32"/>
          <w:szCs w:val="32"/>
        </w:rPr>
        <w:t>或企業若</w:t>
      </w:r>
      <w:r w:rsidRPr="00572A5E">
        <w:rPr>
          <w:rFonts w:ascii="Times New Roman" w:eastAsia="標楷體" w:hAnsi="標楷體" w:hint="eastAsia"/>
          <w:sz w:val="32"/>
          <w:szCs w:val="32"/>
        </w:rPr>
        <w:t>無外部評等者</w:t>
      </w:r>
      <w:r w:rsidR="0081372B">
        <w:rPr>
          <w:rFonts w:ascii="Times New Roman" w:eastAsia="標楷體" w:hAnsi="標楷體" w:hint="eastAsia"/>
          <w:sz w:val="32"/>
          <w:szCs w:val="32"/>
        </w:rPr>
        <w:t>，可參考</w:t>
      </w:r>
      <w:r w:rsidRPr="00572A5E">
        <w:rPr>
          <w:rFonts w:ascii="Times New Roman" w:eastAsia="標楷體" w:hAnsi="標楷體" w:hint="eastAsia"/>
          <w:sz w:val="32"/>
          <w:szCs w:val="32"/>
        </w:rPr>
        <w:t>依</w:t>
      </w:r>
      <w:r w:rsidRPr="00572A5E">
        <w:rPr>
          <w:rFonts w:ascii="Times New Roman" w:eastAsia="標楷體" w:hAnsi="Times New Roman"/>
          <w:sz w:val="32"/>
          <w:szCs w:val="32"/>
        </w:rPr>
        <w:t>IAS 39</w:t>
      </w:r>
      <w:r w:rsidRPr="00572A5E">
        <w:rPr>
          <w:rFonts w:ascii="Times New Roman" w:eastAsia="標楷體" w:hAnsi="標楷體" w:hint="eastAsia"/>
          <w:sz w:val="32"/>
          <w:szCs w:val="32"/>
        </w:rPr>
        <w:t>號公報評估備</w:t>
      </w:r>
      <w:r w:rsidR="00BB6881">
        <w:rPr>
          <w:rFonts w:ascii="Times New Roman" w:eastAsia="標楷體" w:hAnsi="標楷體" w:hint="eastAsia"/>
          <w:sz w:val="32"/>
          <w:szCs w:val="32"/>
        </w:rPr>
        <w:t>抵呆帳之減損發生率</w:t>
      </w:r>
      <w:r w:rsidRPr="00572A5E">
        <w:rPr>
          <w:rFonts w:ascii="Times New Roman" w:eastAsia="標楷體" w:hAnsi="標楷體" w:hint="eastAsia"/>
          <w:sz w:val="32"/>
          <w:szCs w:val="32"/>
        </w:rPr>
        <w:t>。</w:t>
      </w:r>
    </w:p>
    <w:p w:rsidR="0027138A" w:rsidRPr="00572A5E" w:rsidRDefault="00172031" w:rsidP="008A3E0A">
      <w:pPr>
        <w:numPr>
          <w:ilvl w:val="1"/>
          <w:numId w:val="2"/>
        </w:numPr>
        <w:tabs>
          <w:tab w:val="num" w:pos="1418"/>
        </w:tabs>
        <w:spacing w:line="360" w:lineRule="auto"/>
        <w:ind w:left="1418" w:hanging="567"/>
        <w:jc w:val="both"/>
        <w:rPr>
          <w:rFonts w:ascii="Times New Roman" w:eastAsia="標楷體" w:hAnsi="Times New Roman"/>
          <w:sz w:val="32"/>
          <w:szCs w:val="32"/>
        </w:rPr>
      </w:pPr>
      <w:r>
        <w:rPr>
          <w:rFonts w:ascii="Times New Roman" w:eastAsia="標楷體" w:hAnsi="標楷體" w:hint="eastAsia"/>
          <w:sz w:val="32"/>
          <w:szCs w:val="32"/>
        </w:rPr>
        <w:t>若可運用自身內部資料或可收集的外部資料產生交易對手評等者，可參考自身定期更新的內部評等結果所對應之違約機率</w:t>
      </w:r>
      <w:r w:rsidR="0027138A" w:rsidRPr="00572A5E">
        <w:rPr>
          <w:rFonts w:ascii="Times New Roman" w:eastAsia="標楷體" w:hAnsi="標楷體" w:hint="eastAsia"/>
          <w:sz w:val="32"/>
          <w:szCs w:val="32"/>
        </w:rPr>
        <w:t>。</w:t>
      </w:r>
    </w:p>
    <w:p w:rsidR="0027138A" w:rsidRDefault="00BB6881" w:rsidP="00A67B32">
      <w:pPr>
        <w:numPr>
          <w:ilvl w:val="0"/>
          <w:numId w:val="2"/>
        </w:numPr>
        <w:tabs>
          <w:tab w:val="clear" w:pos="375"/>
          <w:tab w:val="num" w:pos="993"/>
        </w:tabs>
        <w:spacing w:line="360" w:lineRule="auto"/>
        <w:ind w:left="993" w:hanging="426"/>
        <w:jc w:val="both"/>
        <w:rPr>
          <w:rFonts w:ascii="Times New Roman" w:eastAsia="標楷體" w:hAnsi="標楷體"/>
          <w:sz w:val="32"/>
          <w:szCs w:val="32"/>
        </w:rPr>
      </w:pPr>
      <w:r>
        <w:rPr>
          <w:rFonts w:ascii="Times New Roman" w:eastAsia="標楷體" w:hAnsi="標楷體" w:hint="eastAsia"/>
          <w:sz w:val="32"/>
          <w:szCs w:val="32"/>
        </w:rPr>
        <w:t>違約</w:t>
      </w:r>
      <w:r w:rsidR="0027138A" w:rsidRPr="00572A5E">
        <w:rPr>
          <w:rFonts w:ascii="Times New Roman" w:eastAsia="標楷體" w:hAnsi="標楷體" w:hint="eastAsia"/>
          <w:sz w:val="32"/>
          <w:szCs w:val="32"/>
        </w:rPr>
        <w:t>損失率</w:t>
      </w:r>
      <w:r w:rsidR="0027138A" w:rsidRPr="00572A5E">
        <w:rPr>
          <w:rFonts w:ascii="Times New Roman" w:eastAsia="標楷體" w:hAnsi="標楷體"/>
          <w:sz w:val="32"/>
          <w:szCs w:val="32"/>
        </w:rPr>
        <w:t>(LGD)</w:t>
      </w:r>
      <w:r w:rsidR="0027138A" w:rsidRPr="00572A5E">
        <w:rPr>
          <w:rFonts w:ascii="Times New Roman" w:eastAsia="標楷體" w:hAnsi="標楷體" w:hint="eastAsia"/>
          <w:sz w:val="32"/>
          <w:szCs w:val="32"/>
        </w:rPr>
        <w:t>：</w:t>
      </w:r>
      <w:r w:rsidRPr="00B064B0">
        <w:rPr>
          <w:rFonts w:ascii="Times New Roman" w:eastAsia="標楷體" w:hAnsi="標楷體" w:hint="eastAsia"/>
          <w:sz w:val="32"/>
          <w:szCs w:val="32"/>
        </w:rPr>
        <w:t>依</w:t>
      </w:r>
      <w:r w:rsidR="00D37130">
        <w:rPr>
          <w:rFonts w:ascii="Times New Roman" w:eastAsia="標楷體" w:hAnsi="標楷體" w:hint="eastAsia"/>
          <w:sz w:val="32"/>
          <w:szCs w:val="32"/>
        </w:rPr>
        <w:t>過往經驗，一旦交易對手違約，扣除回收金額之損失率。經參酌</w:t>
      </w:r>
      <w:r w:rsidR="0027138A" w:rsidRPr="002D3E1A">
        <w:rPr>
          <w:rFonts w:ascii="Times New Roman" w:eastAsia="標楷體" w:hAnsi="標楷體" w:hint="eastAsia"/>
          <w:sz w:val="32"/>
          <w:szCs w:val="32"/>
        </w:rPr>
        <w:t>學者</w:t>
      </w:r>
      <w:r w:rsidR="00482A6A" w:rsidRPr="002D3E1A">
        <w:rPr>
          <w:rFonts w:ascii="Times New Roman" w:eastAsia="標楷體" w:hAnsi="標楷體" w:hint="eastAsia"/>
          <w:sz w:val="32"/>
          <w:szCs w:val="32"/>
        </w:rPr>
        <w:t>Jon Gregory</w:t>
      </w:r>
      <w:r w:rsidR="0027138A" w:rsidRPr="002D3E1A">
        <w:rPr>
          <w:rFonts w:ascii="Times New Roman" w:eastAsia="標楷體" w:hAnsi="標楷體" w:hint="eastAsia"/>
          <w:sz w:val="32"/>
          <w:szCs w:val="32"/>
        </w:rPr>
        <w:t>及國外金融機構經驗，建議</w:t>
      </w:r>
      <w:proofErr w:type="gramStart"/>
      <w:r w:rsidR="0027138A" w:rsidRPr="002D3E1A">
        <w:rPr>
          <w:rFonts w:ascii="Times New Roman" w:eastAsia="標楷體" w:hAnsi="標楷體" w:hint="eastAsia"/>
          <w:sz w:val="32"/>
          <w:szCs w:val="32"/>
        </w:rPr>
        <w:t>採</w:t>
      </w:r>
      <w:proofErr w:type="gramEnd"/>
      <w:r w:rsidR="0027138A" w:rsidRPr="002D3E1A">
        <w:rPr>
          <w:rFonts w:ascii="Times New Roman" w:eastAsia="標楷體" w:hAnsi="標楷體"/>
          <w:sz w:val="32"/>
          <w:szCs w:val="32"/>
        </w:rPr>
        <w:t>60%</w:t>
      </w:r>
      <w:r w:rsidR="00D37130">
        <w:rPr>
          <w:rFonts w:ascii="Times New Roman" w:eastAsia="標楷體" w:hAnsi="標楷體" w:hint="eastAsia"/>
          <w:sz w:val="32"/>
          <w:szCs w:val="32"/>
        </w:rPr>
        <w:t>作為違約損失率</w:t>
      </w:r>
      <w:r w:rsidR="00D37130">
        <w:rPr>
          <w:rFonts w:ascii="Times New Roman" w:eastAsia="標楷體" w:hAnsi="標楷體" w:hint="eastAsia"/>
          <w:sz w:val="32"/>
          <w:szCs w:val="32"/>
        </w:rPr>
        <w:t>(LGD)</w:t>
      </w:r>
      <w:r w:rsidR="00770C0A" w:rsidRPr="00B064B0">
        <w:rPr>
          <w:rFonts w:ascii="Times New Roman" w:eastAsia="標楷體" w:hAnsi="標楷體" w:hint="eastAsia"/>
          <w:sz w:val="32"/>
          <w:szCs w:val="32"/>
        </w:rPr>
        <w:t>，</w:t>
      </w:r>
      <w:r w:rsidR="0027138A" w:rsidRPr="00B064B0">
        <w:rPr>
          <w:rFonts w:ascii="Times New Roman" w:eastAsia="標楷體" w:hAnsi="標楷體" w:hint="eastAsia"/>
          <w:sz w:val="32"/>
          <w:szCs w:val="32"/>
        </w:rPr>
        <w:t>亦可採用其他</w:t>
      </w:r>
      <w:r w:rsidR="0027138A" w:rsidRPr="00B064B0">
        <w:rPr>
          <w:rFonts w:ascii="Times New Roman" w:eastAsia="標楷體" w:hAnsi="標楷體"/>
          <w:sz w:val="32"/>
          <w:szCs w:val="32"/>
        </w:rPr>
        <w:t>LGD</w:t>
      </w:r>
      <w:r w:rsidR="0027138A" w:rsidRPr="00B064B0">
        <w:rPr>
          <w:rFonts w:ascii="Times New Roman" w:eastAsia="標楷體" w:hAnsi="標楷體" w:hint="eastAsia"/>
          <w:sz w:val="32"/>
          <w:szCs w:val="32"/>
        </w:rPr>
        <w:t>假設。</w:t>
      </w:r>
    </w:p>
    <w:p w:rsidR="0027138A" w:rsidRPr="00572A5E" w:rsidRDefault="00BB6881" w:rsidP="008A3E0A">
      <w:pPr>
        <w:numPr>
          <w:ilvl w:val="0"/>
          <w:numId w:val="2"/>
        </w:numPr>
        <w:tabs>
          <w:tab w:val="clear" w:pos="375"/>
          <w:tab w:val="num" w:pos="993"/>
        </w:tabs>
        <w:spacing w:line="360" w:lineRule="auto"/>
        <w:ind w:left="993" w:hanging="426"/>
        <w:jc w:val="both"/>
        <w:rPr>
          <w:rFonts w:ascii="Times New Roman" w:eastAsia="標楷體" w:hAnsi="標楷體"/>
          <w:sz w:val="32"/>
          <w:szCs w:val="32"/>
        </w:rPr>
      </w:pPr>
      <w:proofErr w:type="gramStart"/>
      <w:r>
        <w:rPr>
          <w:rFonts w:ascii="Times New Roman" w:eastAsia="標楷體" w:hAnsi="標楷體" w:hint="eastAsia"/>
          <w:sz w:val="32"/>
          <w:szCs w:val="32"/>
        </w:rPr>
        <w:t>違約</w:t>
      </w:r>
      <w:r w:rsidR="0027138A" w:rsidRPr="00572A5E">
        <w:rPr>
          <w:rFonts w:ascii="Times New Roman" w:eastAsia="標楷體" w:hAnsi="標楷體" w:hint="eastAsia"/>
          <w:sz w:val="32"/>
          <w:szCs w:val="32"/>
        </w:rPr>
        <w:t>暴險金額</w:t>
      </w:r>
      <w:proofErr w:type="gramEnd"/>
      <w:r w:rsidR="0027138A" w:rsidRPr="00572A5E">
        <w:rPr>
          <w:rFonts w:ascii="Times New Roman" w:eastAsia="標楷體" w:hAnsi="標楷體"/>
          <w:sz w:val="32"/>
          <w:szCs w:val="32"/>
        </w:rPr>
        <w:t>(EAD)</w:t>
      </w:r>
      <w:r w:rsidR="0027138A" w:rsidRPr="00572A5E">
        <w:rPr>
          <w:rFonts w:ascii="Times New Roman" w:eastAsia="標楷體" w:hAnsi="標楷體" w:hint="eastAsia"/>
          <w:sz w:val="32"/>
          <w:szCs w:val="32"/>
        </w:rPr>
        <w:t>：</w:t>
      </w:r>
    </w:p>
    <w:p w:rsidR="00EB5E14" w:rsidRPr="0059408C" w:rsidRDefault="0027138A" w:rsidP="00EB5E14">
      <w:pPr>
        <w:numPr>
          <w:ilvl w:val="1"/>
          <w:numId w:val="2"/>
        </w:numPr>
        <w:tabs>
          <w:tab w:val="num" w:pos="1418"/>
        </w:tabs>
        <w:spacing w:line="360" w:lineRule="auto"/>
        <w:ind w:left="1418" w:hanging="567"/>
        <w:jc w:val="both"/>
        <w:rPr>
          <w:rFonts w:ascii="Times New Roman" w:eastAsia="標楷體" w:hAnsi="標楷體"/>
          <w:sz w:val="32"/>
          <w:szCs w:val="32"/>
        </w:rPr>
      </w:pPr>
      <w:r w:rsidRPr="00572A5E">
        <w:rPr>
          <w:rFonts w:ascii="Times New Roman" w:eastAsia="標楷體" w:hAnsi="標楷體" w:hint="eastAsia"/>
          <w:sz w:val="32"/>
          <w:szCs w:val="32"/>
        </w:rPr>
        <w:t>可</w:t>
      </w:r>
      <w:proofErr w:type="gramStart"/>
      <w:r w:rsidRPr="00572A5E">
        <w:rPr>
          <w:rFonts w:ascii="Times New Roman" w:eastAsia="標楷體" w:hAnsi="標楷體" w:hint="eastAsia"/>
          <w:sz w:val="32"/>
          <w:szCs w:val="32"/>
        </w:rPr>
        <w:t>採</w:t>
      </w:r>
      <w:proofErr w:type="gramEnd"/>
      <w:r w:rsidRPr="00572A5E">
        <w:rPr>
          <w:rFonts w:ascii="Times New Roman" w:eastAsia="標楷體" w:hAnsi="標楷體"/>
          <w:sz w:val="32"/>
          <w:szCs w:val="32"/>
        </w:rPr>
        <w:t>OTC</w:t>
      </w:r>
      <w:r w:rsidR="00623F3E">
        <w:rPr>
          <w:rFonts w:ascii="Times New Roman" w:eastAsia="標楷體" w:hAnsi="標楷體" w:hint="eastAsia"/>
          <w:sz w:val="32"/>
          <w:szCs w:val="32"/>
        </w:rPr>
        <w:t>衍生工具之市價評估</w:t>
      </w:r>
      <w:r w:rsidRPr="00572A5E">
        <w:rPr>
          <w:rFonts w:ascii="Times New Roman" w:eastAsia="標楷體" w:hAnsi="標楷體"/>
          <w:sz w:val="32"/>
          <w:szCs w:val="32"/>
        </w:rPr>
        <w:t>(Mark to Market)</w:t>
      </w:r>
      <w:r w:rsidR="00D37130">
        <w:rPr>
          <w:rFonts w:ascii="Times New Roman" w:eastAsia="標楷體" w:hAnsi="標楷體" w:hint="eastAsia"/>
          <w:sz w:val="32"/>
          <w:szCs w:val="32"/>
        </w:rPr>
        <w:t>作為</w:t>
      </w:r>
      <w:proofErr w:type="gramStart"/>
      <w:r w:rsidR="00D37130">
        <w:rPr>
          <w:rFonts w:ascii="Times New Roman" w:eastAsia="標楷體" w:hAnsi="標楷體" w:hint="eastAsia"/>
          <w:sz w:val="32"/>
          <w:szCs w:val="32"/>
        </w:rPr>
        <w:t>違約</w:t>
      </w:r>
      <w:r w:rsidRPr="00572A5E">
        <w:rPr>
          <w:rFonts w:ascii="Times New Roman" w:eastAsia="標楷體" w:hAnsi="標楷體" w:hint="eastAsia"/>
          <w:sz w:val="32"/>
          <w:szCs w:val="32"/>
        </w:rPr>
        <w:t>暴險金額</w:t>
      </w:r>
      <w:proofErr w:type="gramEnd"/>
      <w:r w:rsidR="0059408C">
        <w:rPr>
          <w:rFonts w:ascii="Times New Roman" w:eastAsia="標楷體" w:hAnsi="標楷體" w:hint="eastAsia"/>
          <w:sz w:val="32"/>
          <w:szCs w:val="32"/>
        </w:rPr>
        <w:t>。</w:t>
      </w:r>
    </w:p>
    <w:p w:rsidR="00CD4540" w:rsidRPr="00EB5E14" w:rsidRDefault="00CD4540" w:rsidP="008A3E0A">
      <w:pPr>
        <w:numPr>
          <w:ilvl w:val="1"/>
          <w:numId w:val="2"/>
        </w:numPr>
        <w:tabs>
          <w:tab w:val="num" w:pos="993"/>
          <w:tab w:val="num" w:pos="1418"/>
        </w:tabs>
        <w:spacing w:line="360" w:lineRule="auto"/>
        <w:ind w:left="1418" w:hanging="567"/>
        <w:jc w:val="both"/>
        <w:rPr>
          <w:rFonts w:ascii="Times New Roman" w:eastAsia="標楷體" w:hAnsi="標楷體"/>
          <w:color w:val="000000" w:themeColor="text1"/>
          <w:sz w:val="32"/>
          <w:szCs w:val="32"/>
        </w:rPr>
      </w:pPr>
      <w:r w:rsidRPr="00EB5E14">
        <w:rPr>
          <w:rFonts w:ascii="Times New Roman" w:eastAsia="標楷體" w:hAnsi="標楷體" w:hint="eastAsia"/>
          <w:color w:val="000000" w:themeColor="text1"/>
          <w:sz w:val="32"/>
          <w:szCs w:val="32"/>
        </w:rPr>
        <w:t>可採用蒙地卡羅模擬法</w:t>
      </w:r>
      <w:r w:rsidRPr="00EB5E14">
        <w:rPr>
          <w:rFonts w:ascii="Times New Roman" w:eastAsia="標楷體" w:hAnsi="標楷體" w:hint="eastAsia"/>
          <w:color w:val="000000" w:themeColor="text1"/>
          <w:sz w:val="32"/>
          <w:szCs w:val="32"/>
        </w:rPr>
        <w:t>(Monte-Carlo Simulation)</w:t>
      </w:r>
      <w:r w:rsidR="00172031">
        <w:rPr>
          <w:rFonts w:ascii="Times New Roman" w:eastAsia="標楷體" w:hAnsi="標楷體" w:hint="eastAsia"/>
          <w:color w:val="000000" w:themeColor="text1"/>
          <w:sz w:val="32"/>
          <w:szCs w:val="32"/>
        </w:rPr>
        <w:t>或其他業界常用之數值方法</w:t>
      </w:r>
      <w:r w:rsidR="00172031">
        <w:rPr>
          <w:rFonts w:ascii="Times New Roman" w:eastAsia="標楷體" w:hAnsi="標楷體" w:hint="eastAsia"/>
          <w:color w:val="000000" w:themeColor="text1"/>
          <w:sz w:val="32"/>
          <w:szCs w:val="32"/>
        </w:rPr>
        <w:t>(Numerical Method)</w:t>
      </w:r>
      <w:r w:rsidRPr="00EB5E14">
        <w:rPr>
          <w:rFonts w:ascii="Times New Roman" w:eastAsia="標楷體" w:hAnsi="標楷體" w:hint="eastAsia"/>
          <w:color w:val="000000" w:themeColor="text1"/>
          <w:sz w:val="32"/>
          <w:szCs w:val="32"/>
        </w:rPr>
        <w:t>估算。</w:t>
      </w:r>
    </w:p>
    <w:p w:rsidR="00D06EDF" w:rsidRDefault="00D06EDF" w:rsidP="00D06EDF">
      <w:pPr>
        <w:tabs>
          <w:tab w:val="num" w:pos="1495"/>
        </w:tabs>
        <w:spacing w:line="360" w:lineRule="auto"/>
        <w:ind w:left="1418"/>
        <w:jc w:val="both"/>
        <w:rPr>
          <w:rFonts w:ascii="Times New Roman" w:eastAsia="標楷體" w:hAnsi="標楷體"/>
          <w:color w:val="FF0000"/>
          <w:sz w:val="32"/>
          <w:szCs w:val="32"/>
        </w:rPr>
      </w:pPr>
    </w:p>
    <w:p w:rsidR="00C04CD7" w:rsidRDefault="00C04CD7" w:rsidP="00C04CD7">
      <w:pPr>
        <w:tabs>
          <w:tab w:val="num" w:pos="1495"/>
        </w:tabs>
        <w:spacing w:line="360" w:lineRule="auto"/>
        <w:ind w:left="1418"/>
        <w:jc w:val="both"/>
        <w:rPr>
          <w:rFonts w:ascii="Times New Roman" w:eastAsia="標楷體" w:hAnsi="標楷體"/>
          <w:sz w:val="32"/>
          <w:szCs w:val="32"/>
        </w:rPr>
      </w:pPr>
    </w:p>
    <w:p w:rsidR="00C04CD7" w:rsidRDefault="00C04CD7" w:rsidP="00C04CD7">
      <w:pPr>
        <w:tabs>
          <w:tab w:val="num" w:pos="1495"/>
        </w:tabs>
        <w:spacing w:line="360" w:lineRule="auto"/>
        <w:ind w:left="1418"/>
        <w:jc w:val="both"/>
        <w:rPr>
          <w:rFonts w:ascii="Times New Roman" w:eastAsia="標楷體" w:hAnsi="標楷體"/>
          <w:sz w:val="32"/>
          <w:szCs w:val="32"/>
        </w:rPr>
      </w:pPr>
    </w:p>
    <w:p w:rsidR="00C04CD7" w:rsidRPr="007933F3" w:rsidRDefault="00C04CD7" w:rsidP="00C04CD7">
      <w:pPr>
        <w:tabs>
          <w:tab w:val="num" w:pos="1495"/>
        </w:tabs>
        <w:spacing w:line="360" w:lineRule="auto"/>
        <w:ind w:left="1418"/>
        <w:jc w:val="both"/>
        <w:rPr>
          <w:rFonts w:ascii="Times New Roman" w:eastAsia="標楷體" w:hAnsi="標楷體"/>
          <w:color w:val="FF0000"/>
          <w:sz w:val="32"/>
          <w:szCs w:val="32"/>
        </w:rPr>
      </w:pPr>
    </w:p>
    <w:p w:rsidR="0027138A" w:rsidRPr="00572A5E" w:rsidRDefault="0027138A" w:rsidP="008A3E0A">
      <w:pPr>
        <w:numPr>
          <w:ilvl w:val="0"/>
          <w:numId w:val="2"/>
        </w:numPr>
        <w:tabs>
          <w:tab w:val="clear" w:pos="375"/>
          <w:tab w:val="num" w:pos="993"/>
        </w:tabs>
        <w:spacing w:line="360" w:lineRule="auto"/>
        <w:ind w:left="993" w:hanging="426"/>
        <w:jc w:val="both"/>
        <w:rPr>
          <w:rFonts w:ascii="Times New Roman" w:eastAsia="標楷體" w:hAnsi="標楷體"/>
          <w:sz w:val="32"/>
          <w:szCs w:val="32"/>
        </w:rPr>
      </w:pPr>
      <w:r w:rsidRPr="00572A5E">
        <w:rPr>
          <w:rFonts w:ascii="Times New Roman" w:eastAsia="標楷體" w:hAnsi="標楷體" w:hint="eastAsia"/>
          <w:sz w:val="32"/>
          <w:szCs w:val="32"/>
        </w:rPr>
        <w:lastRenderedPageBreak/>
        <w:t>揭露相關釋例如下：</w:t>
      </w:r>
    </w:p>
    <w:tbl>
      <w:tblPr>
        <w:tblW w:w="9180" w:type="dxa"/>
        <w:tblInd w:w="-51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tblPr>
      <w:tblGrid>
        <w:gridCol w:w="1260"/>
        <w:gridCol w:w="7920"/>
      </w:tblGrid>
      <w:tr w:rsidR="0027138A" w:rsidRPr="00E26BE1" w:rsidTr="0027138A">
        <w:tc>
          <w:tcPr>
            <w:tcW w:w="1260" w:type="dxa"/>
            <w:tcBorders>
              <w:top w:val="single" w:sz="4" w:space="0" w:color="auto"/>
              <w:bottom w:val="single" w:sz="4" w:space="0" w:color="auto"/>
            </w:tcBorders>
          </w:tcPr>
          <w:p w:rsidR="0027138A" w:rsidRPr="00572A5E" w:rsidRDefault="0027138A" w:rsidP="0027138A">
            <w:pPr>
              <w:snapToGrid w:val="0"/>
              <w:spacing w:before="120" w:after="120"/>
              <w:rPr>
                <w:rFonts w:ascii="Times New Roman" w:eastAsia="標楷體" w:hAnsi="Times New Roman"/>
                <w:szCs w:val="24"/>
              </w:rPr>
            </w:pPr>
            <w:r w:rsidRPr="00572A5E">
              <w:rPr>
                <w:rFonts w:ascii="Times New Roman" w:eastAsia="標楷體" w:hAnsi="Times New Roman"/>
                <w:szCs w:val="24"/>
              </w:rPr>
              <w:t>IFRS13p42, IFRS13p53, IFRS13p56</w:t>
            </w:r>
          </w:p>
        </w:tc>
        <w:tc>
          <w:tcPr>
            <w:tcW w:w="7920" w:type="dxa"/>
            <w:tcBorders>
              <w:top w:val="single" w:sz="4" w:space="0" w:color="auto"/>
              <w:bottom w:val="single" w:sz="4" w:space="0" w:color="auto"/>
            </w:tcBorders>
          </w:tcPr>
          <w:p w:rsidR="0027138A" w:rsidRPr="00572A5E" w:rsidRDefault="0027138A" w:rsidP="0027138A">
            <w:pPr>
              <w:autoSpaceDE w:val="0"/>
              <w:autoSpaceDN w:val="0"/>
              <w:spacing w:before="120" w:after="120" w:line="360" w:lineRule="auto"/>
              <w:jc w:val="both"/>
              <w:rPr>
                <w:rFonts w:ascii="Times New Roman" w:eastAsia="標楷體" w:hAnsi="Times New Roman"/>
                <w:color w:val="000000"/>
                <w:sz w:val="32"/>
                <w:szCs w:val="32"/>
              </w:rPr>
            </w:pPr>
            <w:r w:rsidRPr="00572A5E">
              <w:rPr>
                <w:rFonts w:ascii="Times New Roman" w:eastAsia="標楷體" w:hAnsi="標楷體" w:hint="eastAsia"/>
                <w:color w:val="000000"/>
                <w:sz w:val="32"/>
                <w:szCs w:val="32"/>
              </w:rPr>
              <w:t>【信用風險評價調整】</w:t>
            </w:r>
          </w:p>
          <w:p w:rsidR="00FF0CDB" w:rsidRPr="00572A5E" w:rsidRDefault="0027138A" w:rsidP="00FF0CDB">
            <w:pPr>
              <w:numPr>
                <w:ilvl w:val="0"/>
                <w:numId w:val="1"/>
              </w:numPr>
              <w:tabs>
                <w:tab w:val="clear" w:pos="927"/>
              </w:tabs>
              <w:autoSpaceDE w:val="0"/>
              <w:autoSpaceDN w:val="0"/>
              <w:spacing w:before="120" w:after="120" w:line="360" w:lineRule="auto"/>
              <w:ind w:left="708" w:hanging="336"/>
              <w:jc w:val="both"/>
              <w:rPr>
                <w:rFonts w:ascii="Times New Roman" w:eastAsia="標楷體" w:hAnsi="Times New Roman"/>
                <w:sz w:val="32"/>
                <w:szCs w:val="32"/>
              </w:rPr>
            </w:pPr>
            <w:r w:rsidRPr="00572A5E">
              <w:rPr>
                <w:rFonts w:ascii="Times New Roman" w:eastAsia="標楷體" w:hAnsi="標楷體" w:hint="eastAsia"/>
                <w:sz w:val="32"/>
                <w:szCs w:val="32"/>
              </w:rPr>
              <w:t>信用風險評價調整主要可區分為貸方評價調整</w:t>
            </w:r>
            <w:r w:rsidRPr="00572A5E">
              <w:rPr>
                <w:rFonts w:ascii="Times New Roman" w:eastAsia="標楷體" w:hAnsi="Times New Roman"/>
                <w:sz w:val="32"/>
                <w:szCs w:val="32"/>
              </w:rPr>
              <w:t xml:space="preserve">(Credit value adjustments) </w:t>
            </w:r>
            <w:r w:rsidRPr="00572A5E">
              <w:rPr>
                <w:rFonts w:ascii="Times New Roman" w:eastAsia="標楷體" w:hAnsi="標楷體" w:hint="eastAsia"/>
                <w:sz w:val="32"/>
                <w:szCs w:val="32"/>
              </w:rPr>
              <w:t>及借方評價調整</w:t>
            </w:r>
            <w:r w:rsidRPr="00572A5E">
              <w:rPr>
                <w:rFonts w:ascii="Times New Roman" w:eastAsia="標楷體" w:hAnsi="Times New Roman"/>
                <w:sz w:val="32"/>
                <w:szCs w:val="32"/>
              </w:rPr>
              <w:t>(Debit value adjustments)</w:t>
            </w:r>
            <w:r w:rsidRPr="00572A5E">
              <w:rPr>
                <w:rFonts w:ascii="Times New Roman" w:eastAsia="標楷體" w:hAnsi="標楷體" w:hint="eastAsia"/>
                <w:sz w:val="32"/>
                <w:szCs w:val="32"/>
              </w:rPr>
              <w:t>，其定義說明如下：</w:t>
            </w:r>
          </w:p>
          <w:p w:rsidR="00FF0CDB" w:rsidRDefault="00FF0CDB" w:rsidP="00FF0CDB">
            <w:pPr>
              <w:numPr>
                <w:ilvl w:val="1"/>
                <w:numId w:val="1"/>
              </w:numPr>
              <w:tabs>
                <w:tab w:val="clear" w:pos="1407"/>
              </w:tabs>
              <w:autoSpaceDE w:val="0"/>
              <w:autoSpaceDN w:val="0"/>
              <w:spacing w:before="120" w:after="120" w:line="360" w:lineRule="auto"/>
              <w:ind w:left="1926" w:hanging="879"/>
              <w:jc w:val="both"/>
              <w:rPr>
                <w:rFonts w:ascii="Times New Roman" w:eastAsia="標楷體" w:hAnsi="標楷體"/>
                <w:sz w:val="32"/>
                <w:szCs w:val="32"/>
              </w:rPr>
            </w:pPr>
            <w:r w:rsidRPr="00572A5E">
              <w:rPr>
                <w:rFonts w:ascii="Times New Roman" w:eastAsia="標楷體" w:hAnsi="標楷體" w:hint="eastAsia"/>
                <w:sz w:val="32"/>
                <w:szCs w:val="32"/>
              </w:rPr>
              <w:t>貸方評價調整</w:t>
            </w:r>
            <w:r w:rsidRPr="00572A5E">
              <w:rPr>
                <w:rFonts w:ascii="Times New Roman" w:eastAsia="標楷體" w:hAnsi="Times New Roman"/>
                <w:sz w:val="32"/>
                <w:szCs w:val="32"/>
              </w:rPr>
              <w:t>(C</w:t>
            </w:r>
            <w:r w:rsidR="00D37130">
              <w:rPr>
                <w:rFonts w:ascii="Times New Roman" w:eastAsia="標楷體" w:hAnsi="Times New Roman" w:hint="eastAsia"/>
                <w:sz w:val="32"/>
                <w:szCs w:val="32"/>
              </w:rPr>
              <w:t>VA</w:t>
            </w:r>
            <w:r w:rsidRPr="00572A5E">
              <w:rPr>
                <w:rFonts w:ascii="Times New Roman" w:eastAsia="標楷體" w:hAnsi="Times New Roman"/>
                <w:sz w:val="32"/>
                <w:szCs w:val="32"/>
              </w:rPr>
              <w:t>)</w:t>
            </w:r>
            <w:r w:rsidRPr="00572A5E">
              <w:rPr>
                <w:rFonts w:ascii="Times New Roman" w:eastAsia="標楷體" w:hAnsi="標楷體" w:hint="eastAsia"/>
                <w:sz w:val="32"/>
                <w:szCs w:val="32"/>
              </w:rPr>
              <w:t>係指對</w:t>
            </w:r>
            <w:r w:rsidR="008A3E0A">
              <w:rPr>
                <w:rFonts w:ascii="Times New Roman" w:eastAsia="標楷體" w:hAnsi="Times New Roman" w:hint="eastAsia"/>
                <w:sz w:val="32"/>
                <w:szCs w:val="32"/>
              </w:rPr>
              <w:t>非經</w:t>
            </w:r>
            <w:r>
              <w:rPr>
                <w:rFonts w:ascii="Times New Roman" w:eastAsia="標楷體" w:hAnsi="Times New Roman" w:hint="eastAsia"/>
                <w:sz w:val="32"/>
                <w:szCs w:val="32"/>
              </w:rPr>
              <w:t>集中</w:t>
            </w:r>
            <w:r w:rsidR="008A3E0A">
              <w:rPr>
                <w:rFonts w:ascii="Times New Roman" w:eastAsia="標楷體" w:hAnsi="Times New Roman" w:hint="eastAsia"/>
                <w:sz w:val="32"/>
                <w:szCs w:val="32"/>
              </w:rPr>
              <w:t>交易</w:t>
            </w:r>
            <w:r>
              <w:rPr>
                <w:rFonts w:ascii="Times New Roman" w:eastAsia="標楷體" w:hAnsi="Times New Roman" w:hint="eastAsia"/>
                <w:sz w:val="32"/>
                <w:szCs w:val="32"/>
              </w:rPr>
              <w:t>市場</w:t>
            </w:r>
            <w:r w:rsidR="00D37130">
              <w:rPr>
                <w:rFonts w:ascii="Times New Roman" w:eastAsia="標楷體" w:hAnsi="Times New Roman" w:hint="eastAsia"/>
                <w:sz w:val="32"/>
                <w:szCs w:val="32"/>
              </w:rPr>
              <w:t>之交易</w:t>
            </w:r>
            <w:r>
              <w:rPr>
                <w:rFonts w:ascii="Times New Roman" w:eastAsia="標楷體" w:hAnsi="Times New Roman" w:hint="eastAsia"/>
                <w:sz w:val="32"/>
                <w:szCs w:val="32"/>
              </w:rPr>
              <w:t>，即於</w:t>
            </w:r>
            <w:r>
              <w:rPr>
                <w:rFonts w:ascii="Times New Roman" w:eastAsia="標楷體" w:hAnsi="Times New Roman" w:hint="eastAsia"/>
                <w:sz w:val="32"/>
                <w:szCs w:val="32"/>
              </w:rPr>
              <w:t>OTC</w:t>
            </w:r>
            <w:r>
              <w:rPr>
                <w:rFonts w:ascii="Times New Roman" w:eastAsia="標楷體" w:hAnsi="Times New Roman" w:hint="eastAsia"/>
                <w:sz w:val="32"/>
                <w:szCs w:val="32"/>
              </w:rPr>
              <w:t>交易之</w:t>
            </w:r>
            <w:r w:rsidRPr="00572A5E">
              <w:rPr>
                <w:rFonts w:ascii="Times New Roman" w:eastAsia="標楷體" w:hAnsi="標楷體" w:hint="eastAsia"/>
                <w:sz w:val="32"/>
                <w:szCs w:val="32"/>
              </w:rPr>
              <w:t>衍生工具合約評價調整，藉以於公允價值中反映交易對手可能拖欠還款及公司未必可以收取交易的全部市場價值之可能性。</w:t>
            </w:r>
          </w:p>
          <w:p w:rsidR="0027138A" w:rsidRPr="00FF0CDB" w:rsidRDefault="0027138A" w:rsidP="00FF0CDB">
            <w:pPr>
              <w:numPr>
                <w:ilvl w:val="1"/>
                <w:numId w:val="1"/>
              </w:numPr>
              <w:tabs>
                <w:tab w:val="clear" w:pos="1407"/>
              </w:tabs>
              <w:autoSpaceDE w:val="0"/>
              <w:autoSpaceDN w:val="0"/>
              <w:spacing w:before="120" w:after="120" w:line="360" w:lineRule="auto"/>
              <w:ind w:left="1912" w:hanging="865"/>
              <w:jc w:val="both"/>
              <w:rPr>
                <w:rFonts w:ascii="Times New Roman" w:eastAsia="標楷體" w:hAnsi="標楷體"/>
                <w:sz w:val="32"/>
                <w:szCs w:val="32"/>
              </w:rPr>
            </w:pPr>
            <w:r w:rsidRPr="00572A5E">
              <w:rPr>
                <w:rFonts w:ascii="Times New Roman" w:eastAsia="標楷體" w:hAnsi="標楷體" w:hint="eastAsia"/>
                <w:sz w:val="32"/>
                <w:szCs w:val="32"/>
              </w:rPr>
              <w:t>借方評價調整</w:t>
            </w:r>
            <w:r w:rsidR="00D37130">
              <w:rPr>
                <w:rFonts w:ascii="Times New Roman" w:eastAsia="標楷體" w:hAnsi="Times New Roman"/>
                <w:sz w:val="32"/>
                <w:szCs w:val="32"/>
              </w:rPr>
              <w:t>(</w:t>
            </w:r>
            <w:r w:rsidRPr="00572A5E">
              <w:rPr>
                <w:rFonts w:ascii="Times New Roman" w:eastAsia="標楷體" w:hAnsi="Times New Roman"/>
                <w:sz w:val="32"/>
                <w:szCs w:val="32"/>
              </w:rPr>
              <w:t>D</w:t>
            </w:r>
            <w:r w:rsidR="00D37130">
              <w:rPr>
                <w:rFonts w:ascii="Times New Roman" w:eastAsia="標楷體" w:hAnsi="Times New Roman" w:hint="eastAsia"/>
                <w:sz w:val="32"/>
                <w:szCs w:val="32"/>
              </w:rPr>
              <w:t>VA</w:t>
            </w:r>
            <w:r w:rsidRPr="00572A5E">
              <w:rPr>
                <w:rFonts w:ascii="Times New Roman" w:eastAsia="標楷體" w:hAnsi="Times New Roman"/>
                <w:sz w:val="32"/>
                <w:szCs w:val="32"/>
              </w:rPr>
              <w:t>)</w:t>
            </w:r>
            <w:r w:rsidRPr="00572A5E">
              <w:rPr>
                <w:rFonts w:ascii="Times New Roman" w:eastAsia="標楷體" w:hAnsi="標楷體" w:hint="eastAsia"/>
                <w:sz w:val="32"/>
                <w:szCs w:val="32"/>
              </w:rPr>
              <w:t>係指對</w:t>
            </w:r>
            <w:r w:rsidR="00D37130">
              <w:rPr>
                <w:rFonts w:ascii="Times New Roman" w:eastAsia="標楷體" w:hAnsi="標楷體" w:hint="eastAsia"/>
                <w:sz w:val="32"/>
                <w:szCs w:val="32"/>
              </w:rPr>
              <w:t>非經集中交易市場之交易，即於</w:t>
            </w:r>
            <w:r w:rsidRPr="00572A5E">
              <w:rPr>
                <w:rFonts w:ascii="Times New Roman" w:eastAsia="標楷體" w:hAnsi="Times New Roman"/>
                <w:sz w:val="32"/>
                <w:szCs w:val="32"/>
              </w:rPr>
              <w:t>OTC</w:t>
            </w:r>
            <w:r w:rsidR="00D37130">
              <w:rPr>
                <w:rFonts w:ascii="Times New Roman" w:eastAsia="標楷體" w:hAnsi="Times New Roman" w:hint="eastAsia"/>
                <w:sz w:val="32"/>
                <w:szCs w:val="32"/>
              </w:rPr>
              <w:t>交易之</w:t>
            </w:r>
            <w:r w:rsidR="00A527C6">
              <w:rPr>
                <w:rFonts w:ascii="Times New Roman" w:eastAsia="標楷體" w:hAnsi="標楷體" w:hint="eastAsia"/>
                <w:sz w:val="32"/>
                <w:szCs w:val="32"/>
              </w:rPr>
              <w:t>衍生工具合約評價</w:t>
            </w:r>
            <w:r w:rsidRPr="00572A5E">
              <w:rPr>
                <w:rFonts w:ascii="Times New Roman" w:eastAsia="標楷體" w:hAnsi="標楷體" w:hint="eastAsia"/>
                <w:sz w:val="32"/>
                <w:szCs w:val="32"/>
              </w:rPr>
              <w:t>調整，藉以於公允價值中反映公司可能拖欠還款及公司未必可以支付交易的全部市場價值之可能性。</w:t>
            </w:r>
          </w:p>
          <w:p w:rsidR="0027138A" w:rsidRPr="00E41FC9" w:rsidRDefault="00DC052A" w:rsidP="00E41FC9">
            <w:pPr>
              <w:numPr>
                <w:ilvl w:val="0"/>
                <w:numId w:val="1"/>
              </w:numPr>
              <w:tabs>
                <w:tab w:val="clear" w:pos="927"/>
              </w:tabs>
              <w:autoSpaceDE w:val="0"/>
              <w:autoSpaceDN w:val="0"/>
              <w:spacing w:before="120" w:after="120" w:line="360" w:lineRule="auto"/>
              <w:ind w:left="708" w:hanging="336"/>
              <w:jc w:val="both"/>
              <w:rPr>
                <w:rFonts w:ascii="Times New Roman" w:eastAsia="標楷體" w:hAnsi="Times New Roman"/>
                <w:sz w:val="32"/>
                <w:szCs w:val="32"/>
              </w:rPr>
            </w:pPr>
            <w:r>
              <w:rPr>
                <w:rFonts w:ascii="Times New Roman" w:eastAsia="標楷體" w:hAnsi="標楷體" w:hint="eastAsia"/>
                <w:sz w:val="32"/>
                <w:szCs w:val="32"/>
              </w:rPr>
              <w:t>本</w:t>
            </w:r>
            <w:r w:rsidR="0027138A" w:rsidRPr="00572A5E">
              <w:rPr>
                <w:rFonts w:ascii="Times New Roman" w:eastAsia="標楷體" w:hAnsi="標楷體" w:hint="eastAsia"/>
                <w:sz w:val="32"/>
                <w:szCs w:val="32"/>
              </w:rPr>
              <w:t>公司於考量交易對手違約機率</w:t>
            </w:r>
            <w:r w:rsidR="00FF0CDB">
              <w:rPr>
                <w:rFonts w:ascii="Times New Roman" w:eastAsia="標楷體" w:hAnsi="Times New Roman"/>
                <w:sz w:val="32"/>
                <w:szCs w:val="32"/>
              </w:rPr>
              <w:t>(Probability of default</w:t>
            </w:r>
            <w:r w:rsidR="0027138A" w:rsidRPr="00572A5E">
              <w:rPr>
                <w:rFonts w:ascii="Times New Roman" w:eastAsia="標楷體" w:hAnsi="Times New Roman"/>
                <w:sz w:val="32"/>
                <w:szCs w:val="32"/>
              </w:rPr>
              <w:t>) (</w:t>
            </w:r>
            <w:r>
              <w:rPr>
                <w:rFonts w:ascii="Times New Roman" w:eastAsia="標楷體" w:hAnsi="標楷體" w:hint="eastAsia"/>
                <w:sz w:val="32"/>
                <w:szCs w:val="32"/>
              </w:rPr>
              <w:t>在本</w:t>
            </w:r>
            <w:r w:rsidR="0027138A" w:rsidRPr="00572A5E">
              <w:rPr>
                <w:rFonts w:ascii="Times New Roman" w:eastAsia="標楷體" w:hAnsi="標楷體" w:hint="eastAsia"/>
                <w:sz w:val="32"/>
                <w:szCs w:val="32"/>
              </w:rPr>
              <w:t>公司無違約之條件下</w:t>
            </w:r>
            <w:r w:rsidR="0027138A" w:rsidRPr="00572A5E">
              <w:rPr>
                <w:rFonts w:ascii="Times New Roman" w:eastAsia="標楷體" w:hAnsi="Times New Roman"/>
                <w:sz w:val="32"/>
                <w:szCs w:val="32"/>
              </w:rPr>
              <w:t>)</w:t>
            </w:r>
            <w:r w:rsidR="00770C0A">
              <w:rPr>
                <w:rFonts w:ascii="Times New Roman" w:eastAsia="標楷體" w:hAnsi="標楷體" w:hint="eastAsia"/>
                <w:sz w:val="32"/>
                <w:szCs w:val="32"/>
              </w:rPr>
              <w:t>，並納入交易對手的違約</w:t>
            </w:r>
            <w:r w:rsidR="0027138A" w:rsidRPr="00572A5E">
              <w:rPr>
                <w:rFonts w:ascii="Times New Roman" w:eastAsia="標楷體" w:hAnsi="標楷體" w:hint="eastAsia"/>
                <w:sz w:val="32"/>
                <w:szCs w:val="32"/>
              </w:rPr>
              <w:t>損失率</w:t>
            </w:r>
            <w:r w:rsidR="00FF0CDB" w:rsidRPr="00572A5E">
              <w:rPr>
                <w:rFonts w:ascii="Times New Roman" w:eastAsia="標楷體" w:hAnsi="Times New Roman"/>
                <w:sz w:val="32"/>
                <w:szCs w:val="32"/>
              </w:rPr>
              <w:t>(Loss given default)</w:t>
            </w:r>
            <w:r w:rsidR="00770C0A">
              <w:rPr>
                <w:rFonts w:ascii="Times New Roman" w:eastAsia="標楷體" w:hAnsi="標楷體" w:hint="eastAsia"/>
                <w:sz w:val="32"/>
                <w:szCs w:val="32"/>
              </w:rPr>
              <w:t>後乘以交易對手</w:t>
            </w:r>
            <w:proofErr w:type="gramStart"/>
            <w:r w:rsidR="00770C0A">
              <w:rPr>
                <w:rFonts w:ascii="Times New Roman" w:eastAsia="標楷體" w:hAnsi="標楷體" w:hint="eastAsia"/>
                <w:sz w:val="32"/>
                <w:szCs w:val="32"/>
              </w:rPr>
              <w:lastRenderedPageBreak/>
              <w:t>違約</w:t>
            </w:r>
            <w:r w:rsidR="0027138A" w:rsidRPr="00572A5E">
              <w:rPr>
                <w:rFonts w:ascii="Times New Roman" w:eastAsia="標楷體" w:hAnsi="標楷體" w:hint="eastAsia"/>
                <w:sz w:val="32"/>
                <w:szCs w:val="32"/>
              </w:rPr>
              <w:t>暴險金額</w:t>
            </w:r>
            <w:proofErr w:type="gramEnd"/>
            <w:r w:rsidR="00FF0CDB" w:rsidRPr="00572A5E">
              <w:rPr>
                <w:rFonts w:ascii="Times New Roman" w:eastAsia="標楷體" w:hAnsi="Times New Roman"/>
                <w:sz w:val="32"/>
                <w:szCs w:val="32"/>
              </w:rPr>
              <w:t>(Exposure at default)</w:t>
            </w:r>
            <w:r w:rsidR="0027138A" w:rsidRPr="00572A5E">
              <w:rPr>
                <w:rFonts w:ascii="Times New Roman" w:eastAsia="標楷體" w:hAnsi="標楷體" w:hint="eastAsia"/>
                <w:sz w:val="32"/>
                <w:szCs w:val="32"/>
              </w:rPr>
              <w:t>，計算得出貸方評價調整</w:t>
            </w:r>
            <w:r>
              <w:rPr>
                <w:rFonts w:ascii="Times New Roman" w:eastAsia="標楷體" w:hAnsi="標楷體" w:hint="eastAsia"/>
                <w:sz w:val="32"/>
                <w:szCs w:val="32"/>
              </w:rPr>
              <w:t>(CVA)</w:t>
            </w:r>
            <w:r w:rsidR="0027138A" w:rsidRPr="00572A5E">
              <w:rPr>
                <w:rFonts w:ascii="Times New Roman" w:eastAsia="標楷體" w:hAnsi="標楷體" w:hint="eastAsia"/>
                <w:sz w:val="32"/>
                <w:szCs w:val="32"/>
              </w:rPr>
              <w:t>。</w:t>
            </w:r>
            <w:proofErr w:type="gramStart"/>
            <w:r w:rsidR="0027138A" w:rsidRPr="00572A5E">
              <w:rPr>
                <w:rFonts w:ascii="Times New Roman" w:eastAsia="標楷體" w:hAnsi="標楷體" w:hint="eastAsia"/>
                <w:sz w:val="32"/>
                <w:szCs w:val="32"/>
              </w:rPr>
              <w:t>反之，</w:t>
            </w:r>
            <w:proofErr w:type="gramEnd"/>
            <w:r w:rsidR="0027138A" w:rsidRPr="00572A5E">
              <w:rPr>
                <w:rFonts w:ascii="Times New Roman" w:eastAsia="標楷體" w:hAnsi="標楷體" w:hint="eastAsia"/>
                <w:sz w:val="32"/>
                <w:szCs w:val="32"/>
              </w:rPr>
              <w:t>以本公司違約機率</w:t>
            </w:r>
            <w:r w:rsidR="0027138A" w:rsidRPr="00572A5E">
              <w:rPr>
                <w:rFonts w:ascii="Times New Roman" w:eastAsia="標楷體" w:hAnsi="Times New Roman"/>
                <w:sz w:val="32"/>
                <w:szCs w:val="32"/>
              </w:rPr>
              <w:t>(</w:t>
            </w:r>
            <w:r w:rsidR="0027138A" w:rsidRPr="00572A5E">
              <w:rPr>
                <w:rFonts w:ascii="Times New Roman" w:eastAsia="標楷體" w:hAnsi="標楷體" w:hint="eastAsia"/>
                <w:sz w:val="32"/>
                <w:szCs w:val="32"/>
              </w:rPr>
              <w:t>在交易對手無違約之條件下</w:t>
            </w:r>
            <w:r w:rsidR="0027138A" w:rsidRPr="00572A5E">
              <w:rPr>
                <w:rFonts w:ascii="Times New Roman" w:eastAsia="標楷體" w:hAnsi="Times New Roman"/>
                <w:sz w:val="32"/>
                <w:szCs w:val="32"/>
              </w:rPr>
              <w:t>)</w:t>
            </w:r>
            <w:r w:rsidR="00770C0A">
              <w:rPr>
                <w:rFonts w:ascii="Times New Roman" w:eastAsia="標楷體" w:hAnsi="標楷體" w:hint="eastAsia"/>
                <w:sz w:val="32"/>
                <w:szCs w:val="32"/>
              </w:rPr>
              <w:t>，考量本公司違約損失率後乘以本公司</w:t>
            </w:r>
            <w:proofErr w:type="gramStart"/>
            <w:r w:rsidR="00770C0A">
              <w:rPr>
                <w:rFonts w:ascii="Times New Roman" w:eastAsia="標楷體" w:hAnsi="標楷體" w:hint="eastAsia"/>
                <w:sz w:val="32"/>
                <w:szCs w:val="32"/>
              </w:rPr>
              <w:t>違約</w:t>
            </w:r>
            <w:r w:rsidR="0027138A" w:rsidRPr="00572A5E">
              <w:rPr>
                <w:rFonts w:ascii="Times New Roman" w:eastAsia="標楷體" w:hAnsi="標楷體" w:hint="eastAsia"/>
                <w:sz w:val="32"/>
                <w:szCs w:val="32"/>
              </w:rPr>
              <w:t>暴險金額</w:t>
            </w:r>
            <w:proofErr w:type="gramEnd"/>
            <w:r w:rsidR="0027138A" w:rsidRPr="00572A5E">
              <w:rPr>
                <w:rFonts w:ascii="Times New Roman" w:eastAsia="標楷體" w:hAnsi="標楷體" w:hint="eastAsia"/>
                <w:sz w:val="32"/>
                <w:szCs w:val="32"/>
              </w:rPr>
              <w:t>，計算得出借方評價調整</w:t>
            </w:r>
            <w:r>
              <w:rPr>
                <w:rFonts w:ascii="Times New Roman" w:eastAsia="標楷體" w:hAnsi="標楷體" w:hint="eastAsia"/>
                <w:sz w:val="32"/>
                <w:szCs w:val="32"/>
              </w:rPr>
              <w:t>(DVA)</w:t>
            </w:r>
            <w:r w:rsidR="0027138A" w:rsidRPr="00572A5E">
              <w:rPr>
                <w:rFonts w:ascii="Times New Roman" w:eastAsia="標楷體" w:hAnsi="標楷體" w:hint="eastAsia"/>
                <w:sz w:val="32"/>
                <w:szCs w:val="32"/>
              </w:rPr>
              <w:t>。</w:t>
            </w:r>
          </w:p>
          <w:p w:rsidR="00DE01C4" w:rsidRPr="00E41FC9" w:rsidRDefault="0027138A" w:rsidP="00DC052A">
            <w:pPr>
              <w:numPr>
                <w:ilvl w:val="0"/>
                <w:numId w:val="1"/>
              </w:numPr>
              <w:tabs>
                <w:tab w:val="clear" w:pos="927"/>
              </w:tabs>
              <w:autoSpaceDE w:val="0"/>
              <w:autoSpaceDN w:val="0"/>
              <w:spacing w:before="120" w:after="120" w:line="360" w:lineRule="auto"/>
              <w:ind w:left="708" w:hanging="336"/>
              <w:jc w:val="both"/>
              <w:rPr>
                <w:rFonts w:ascii="Times New Roman" w:eastAsia="標楷體" w:hAnsi="Times New Roman"/>
                <w:sz w:val="32"/>
                <w:szCs w:val="32"/>
              </w:rPr>
            </w:pPr>
            <w:r w:rsidRPr="00572A5E">
              <w:rPr>
                <w:rFonts w:ascii="Times New Roman" w:eastAsia="標楷體" w:hAnsi="標楷體" w:hint="eastAsia"/>
                <w:sz w:val="32"/>
                <w:szCs w:val="32"/>
              </w:rPr>
              <w:t>本公司</w:t>
            </w:r>
            <w:r w:rsidR="00D81885" w:rsidRPr="00E41FC9">
              <w:rPr>
                <w:rFonts w:ascii="Times New Roman" w:eastAsia="標楷體" w:hAnsi="標楷體" w:hint="eastAsia"/>
                <w:sz w:val="32"/>
                <w:szCs w:val="32"/>
              </w:rPr>
              <w:t>採用</w:t>
            </w:r>
            <w:r w:rsidR="00D81885" w:rsidRPr="00E41FC9">
              <w:rPr>
                <w:rFonts w:ascii="Times New Roman" w:eastAsia="標楷體" w:hAnsi="標楷體" w:hint="eastAsia"/>
                <w:sz w:val="32"/>
                <w:szCs w:val="32"/>
              </w:rPr>
              <w:t>XXX</w:t>
            </w:r>
            <w:r w:rsidR="00D81885" w:rsidRPr="00E41FC9">
              <w:rPr>
                <w:rFonts w:ascii="Times New Roman" w:eastAsia="標楷體" w:hAnsi="標楷體" w:hint="eastAsia"/>
                <w:sz w:val="32"/>
                <w:szCs w:val="32"/>
              </w:rPr>
              <w:t>方法估計</w:t>
            </w:r>
            <w:r w:rsidR="00D81885" w:rsidRPr="00E41FC9">
              <w:rPr>
                <w:rFonts w:ascii="Times New Roman" w:eastAsia="標楷體" w:hAnsi="標楷體" w:hint="eastAsia"/>
                <w:sz w:val="32"/>
                <w:szCs w:val="32"/>
              </w:rPr>
              <w:t>P</w:t>
            </w:r>
            <w:r w:rsidR="007933F3" w:rsidRPr="00E41FC9">
              <w:rPr>
                <w:rFonts w:ascii="Times New Roman" w:eastAsia="標楷體" w:hAnsi="標楷體" w:hint="eastAsia"/>
                <w:sz w:val="32"/>
                <w:szCs w:val="32"/>
              </w:rPr>
              <w:t>D</w:t>
            </w:r>
            <w:r w:rsidR="00D81885" w:rsidRPr="00E41FC9">
              <w:rPr>
                <w:rFonts w:ascii="標楷體" w:eastAsia="標楷體" w:hAnsi="標楷體" w:hint="eastAsia"/>
                <w:sz w:val="32"/>
                <w:szCs w:val="32"/>
              </w:rPr>
              <w:t>、</w:t>
            </w:r>
            <w:r w:rsidR="00D81885" w:rsidRPr="00E41FC9">
              <w:rPr>
                <w:rFonts w:ascii="Times New Roman" w:eastAsia="標楷體" w:hAnsi="標楷體" w:hint="eastAsia"/>
                <w:sz w:val="32"/>
                <w:szCs w:val="32"/>
              </w:rPr>
              <w:t>XXX</w:t>
            </w:r>
            <w:r w:rsidR="00D81885" w:rsidRPr="00E41FC9">
              <w:rPr>
                <w:rFonts w:ascii="Times New Roman" w:eastAsia="標楷體" w:hAnsi="標楷體" w:hint="eastAsia"/>
                <w:sz w:val="32"/>
                <w:szCs w:val="32"/>
              </w:rPr>
              <w:t>方法估計</w:t>
            </w:r>
            <w:r w:rsidR="00D81885" w:rsidRPr="00E41FC9">
              <w:rPr>
                <w:rFonts w:ascii="Times New Roman" w:eastAsia="標楷體" w:hAnsi="標楷體" w:hint="eastAsia"/>
                <w:sz w:val="32"/>
                <w:szCs w:val="32"/>
              </w:rPr>
              <w:t>LGD</w:t>
            </w:r>
            <w:r w:rsidR="007933F3" w:rsidRPr="00E41FC9">
              <w:rPr>
                <w:rFonts w:ascii="標楷體" w:eastAsia="標楷體" w:hAnsi="標楷體" w:hint="eastAsia"/>
                <w:sz w:val="32"/>
                <w:szCs w:val="32"/>
              </w:rPr>
              <w:t>、</w:t>
            </w:r>
            <w:r w:rsidR="00D81885" w:rsidRPr="00E41FC9">
              <w:rPr>
                <w:rFonts w:ascii="Times New Roman" w:eastAsia="標楷體" w:hAnsi="標楷體" w:hint="eastAsia"/>
                <w:sz w:val="32"/>
                <w:szCs w:val="32"/>
              </w:rPr>
              <w:t>XXX</w:t>
            </w:r>
            <w:r w:rsidR="00D81885" w:rsidRPr="00E41FC9">
              <w:rPr>
                <w:rFonts w:ascii="Times New Roman" w:eastAsia="標楷體" w:hAnsi="標楷體" w:hint="eastAsia"/>
                <w:sz w:val="32"/>
                <w:szCs w:val="32"/>
              </w:rPr>
              <w:t>方法估計</w:t>
            </w:r>
            <w:r w:rsidR="00D81885" w:rsidRPr="00E41FC9">
              <w:rPr>
                <w:rFonts w:ascii="Times New Roman" w:eastAsia="標楷體" w:hAnsi="標楷體" w:hint="eastAsia"/>
                <w:sz w:val="32"/>
                <w:szCs w:val="32"/>
              </w:rPr>
              <w:t>EAD</w:t>
            </w:r>
            <w:r w:rsidR="00D81885" w:rsidRPr="00E41FC9">
              <w:rPr>
                <w:rFonts w:ascii="標楷體" w:eastAsia="標楷體" w:hAnsi="標楷體" w:hint="eastAsia"/>
                <w:sz w:val="32"/>
                <w:szCs w:val="32"/>
              </w:rPr>
              <w:t>，</w:t>
            </w:r>
            <w:r w:rsidRPr="00572A5E">
              <w:rPr>
                <w:rFonts w:ascii="Times New Roman" w:eastAsia="標楷體" w:hAnsi="標楷體" w:hint="eastAsia"/>
                <w:sz w:val="32"/>
                <w:szCs w:val="32"/>
              </w:rPr>
              <w:t>將信用風險評價調整納入金融工具公允價值計算考量，以分別反映交易對手信用風險及本公司信用品質。</w:t>
            </w:r>
          </w:p>
        </w:tc>
      </w:tr>
    </w:tbl>
    <w:p w:rsidR="0027138A" w:rsidRPr="00572A5E" w:rsidRDefault="0050620D" w:rsidP="0027138A">
      <w:pPr>
        <w:pStyle w:val="1"/>
        <w:numPr>
          <w:ilvl w:val="0"/>
          <w:numId w:val="3"/>
        </w:numPr>
        <w:spacing w:line="500" w:lineRule="exact"/>
        <w:ind w:leftChars="0" w:left="709" w:hanging="709"/>
        <w:rPr>
          <w:rFonts w:ascii="標楷體" w:eastAsia="標楷體" w:hAnsi="標楷體"/>
          <w:b/>
          <w:sz w:val="32"/>
          <w:szCs w:val="32"/>
        </w:rPr>
      </w:pPr>
      <w:r>
        <w:rPr>
          <w:rFonts w:ascii="標楷體" w:eastAsia="標楷體" w:hAnsi="標楷體" w:hint="eastAsia"/>
          <w:b/>
          <w:sz w:val="32"/>
          <w:szCs w:val="32"/>
        </w:rPr>
        <w:lastRenderedPageBreak/>
        <w:t xml:space="preserve"> </w:t>
      </w:r>
      <w:r w:rsidR="0027138A" w:rsidRPr="00572A5E">
        <w:rPr>
          <w:rFonts w:ascii="標楷體" w:eastAsia="標楷體" w:hAnsi="標楷體" w:hint="eastAsia"/>
          <w:b/>
          <w:sz w:val="32"/>
          <w:szCs w:val="32"/>
        </w:rPr>
        <w:t>結論及實務提醒事項</w:t>
      </w:r>
    </w:p>
    <w:p w:rsidR="0027138A" w:rsidRPr="00572A5E" w:rsidRDefault="00905A5B" w:rsidP="0027138A">
      <w:pPr>
        <w:ind w:left="487"/>
        <w:rPr>
          <w:rFonts w:ascii="Times New Roman" w:eastAsia="標楷體" w:hAnsi="Times New Roman"/>
          <w:sz w:val="32"/>
          <w:szCs w:val="32"/>
        </w:rPr>
      </w:pPr>
      <w:r w:rsidRPr="00B064B0">
        <w:rPr>
          <w:rFonts w:ascii="Times New Roman" w:eastAsia="標楷體" w:hAnsi="標楷體" w:hint="eastAsia"/>
          <w:sz w:val="32"/>
          <w:szCs w:val="32"/>
        </w:rPr>
        <w:t>信用風險評價調整</w:t>
      </w:r>
      <w:r w:rsidRPr="00B064B0">
        <w:rPr>
          <w:rFonts w:ascii="Times New Roman" w:eastAsia="標楷體" w:hAnsi="標楷體" w:hint="eastAsia"/>
          <w:sz w:val="32"/>
          <w:szCs w:val="32"/>
        </w:rPr>
        <w:t>(</w:t>
      </w:r>
      <w:r w:rsidRPr="00B064B0">
        <w:rPr>
          <w:rFonts w:ascii="Times New Roman" w:eastAsia="標楷體" w:hAnsi="標楷體" w:hint="eastAsia"/>
          <w:sz w:val="32"/>
          <w:szCs w:val="32"/>
        </w:rPr>
        <w:t>包含</w:t>
      </w:r>
      <w:r w:rsidR="00770C0A" w:rsidRPr="00B064B0">
        <w:rPr>
          <w:rFonts w:ascii="Times New Roman" w:eastAsia="標楷體" w:hAnsi="標楷體" w:hint="eastAsia"/>
          <w:sz w:val="32"/>
          <w:szCs w:val="32"/>
        </w:rPr>
        <w:t>CVA</w:t>
      </w:r>
      <w:r w:rsidR="00770C0A" w:rsidRPr="00B064B0">
        <w:rPr>
          <w:rFonts w:ascii="Times New Roman" w:eastAsia="標楷體" w:hAnsi="標楷體" w:hint="eastAsia"/>
          <w:sz w:val="32"/>
          <w:szCs w:val="32"/>
        </w:rPr>
        <w:t>、</w:t>
      </w:r>
      <w:r w:rsidR="00770C0A" w:rsidRPr="00B064B0">
        <w:rPr>
          <w:rFonts w:ascii="Times New Roman" w:eastAsia="標楷體" w:hAnsi="標楷體" w:hint="eastAsia"/>
          <w:sz w:val="32"/>
          <w:szCs w:val="32"/>
        </w:rPr>
        <w:t>DVA</w:t>
      </w:r>
      <w:r w:rsidRPr="00B064B0">
        <w:rPr>
          <w:rFonts w:ascii="Times New Roman" w:eastAsia="標楷體" w:hAnsi="標楷體" w:hint="eastAsia"/>
          <w:sz w:val="32"/>
          <w:szCs w:val="32"/>
        </w:rPr>
        <w:t>)</w:t>
      </w:r>
      <w:r w:rsidR="00770C0A" w:rsidRPr="00B064B0">
        <w:rPr>
          <w:rFonts w:ascii="Times New Roman" w:eastAsia="標楷體" w:hAnsi="標楷體" w:hint="eastAsia"/>
          <w:sz w:val="32"/>
          <w:szCs w:val="32"/>
        </w:rPr>
        <w:t>應</w:t>
      </w:r>
      <w:r w:rsidRPr="00B064B0">
        <w:rPr>
          <w:rFonts w:ascii="Times New Roman" w:eastAsia="標楷體" w:hAnsi="標楷體" w:hint="eastAsia"/>
          <w:sz w:val="32"/>
          <w:szCs w:val="32"/>
        </w:rPr>
        <w:t>依</w:t>
      </w:r>
      <w:r w:rsidRPr="00B064B0">
        <w:rPr>
          <w:rFonts w:ascii="Times New Roman" w:eastAsia="標楷體" w:hAnsi="標楷體" w:hint="eastAsia"/>
          <w:sz w:val="32"/>
          <w:szCs w:val="32"/>
        </w:rPr>
        <w:t>IFRS 13</w:t>
      </w:r>
      <w:r w:rsidRPr="00B064B0">
        <w:rPr>
          <w:rFonts w:ascii="Times New Roman" w:eastAsia="標楷體" w:hAnsi="標楷體" w:hint="eastAsia"/>
          <w:sz w:val="32"/>
          <w:szCs w:val="32"/>
        </w:rPr>
        <w:t>規定，</w:t>
      </w:r>
      <w:r w:rsidR="00770C0A" w:rsidRPr="00B064B0">
        <w:rPr>
          <w:rFonts w:ascii="Times New Roman" w:eastAsia="標楷體" w:hAnsi="標楷體" w:hint="eastAsia"/>
          <w:sz w:val="32"/>
          <w:szCs w:val="32"/>
        </w:rPr>
        <w:t>作為</w:t>
      </w:r>
      <w:r w:rsidR="00770C0A" w:rsidRPr="00B064B0">
        <w:rPr>
          <w:rFonts w:ascii="Times New Roman" w:eastAsia="標楷體" w:hAnsi="標楷體" w:hint="eastAsia"/>
          <w:sz w:val="32"/>
          <w:szCs w:val="32"/>
        </w:rPr>
        <w:t>OTC</w:t>
      </w:r>
      <w:r w:rsidR="003A3323" w:rsidRPr="00B064B0">
        <w:rPr>
          <w:rFonts w:ascii="Times New Roman" w:eastAsia="標楷體" w:hAnsi="標楷體" w:hint="eastAsia"/>
          <w:sz w:val="32"/>
          <w:szCs w:val="32"/>
        </w:rPr>
        <w:t>衍生工具</w:t>
      </w:r>
      <w:r w:rsidR="00770C0A" w:rsidRPr="00B064B0">
        <w:rPr>
          <w:rFonts w:ascii="Times New Roman" w:eastAsia="標楷體" w:hAnsi="標楷體" w:hint="eastAsia"/>
          <w:sz w:val="32"/>
          <w:szCs w:val="32"/>
        </w:rPr>
        <w:t>之公允價值調整項，惟初期</w:t>
      </w:r>
      <w:r w:rsidR="0027138A" w:rsidRPr="00572A5E">
        <w:rPr>
          <w:rFonts w:ascii="Times New Roman" w:eastAsia="標楷體" w:hAnsi="標楷體" w:hint="eastAsia"/>
          <w:sz w:val="32"/>
          <w:szCs w:val="32"/>
        </w:rPr>
        <w:t>考量</w:t>
      </w:r>
      <w:proofErr w:type="gramStart"/>
      <w:r w:rsidR="0027138A" w:rsidRPr="00572A5E">
        <w:rPr>
          <w:rFonts w:ascii="Times New Roman" w:eastAsia="標楷體" w:hAnsi="標楷體" w:hint="eastAsia"/>
          <w:sz w:val="32"/>
          <w:szCs w:val="32"/>
        </w:rPr>
        <w:t>承作</w:t>
      </w:r>
      <w:proofErr w:type="gramEnd"/>
      <w:r w:rsidR="0027138A" w:rsidRPr="00572A5E">
        <w:rPr>
          <w:rFonts w:ascii="Times New Roman" w:eastAsia="標楷體" w:hAnsi="標楷體" w:hint="eastAsia"/>
          <w:sz w:val="32"/>
          <w:szCs w:val="32"/>
        </w:rPr>
        <w:t>業務規模</w:t>
      </w:r>
      <w:r>
        <w:rPr>
          <w:rFonts w:ascii="Times New Roman" w:eastAsia="標楷體" w:hAnsi="標楷體" w:hint="eastAsia"/>
          <w:sz w:val="32"/>
          <w:szCs w:val="32"/>
        </w:rPr>
        <w:t>差異</w:t>
      </w:r>
      <w:r w:rsidR="0027138A" w:rsidRPr="00572A5E">
        <w:rPr>
          <w:rFonts w:ascii="Times New Roman" w:eastAsia="標楷體" w:hAnsi="標楷體" w:hint="eastAsia"/>
          <w:sz w:val="32"/>
          <w:szCs w:val="32"/>
        </w:rPr>
        <w:t>，可將計算結果經重大性考量後，評估是否調整</w:t>
      </w:r>
      <w:r w:rsidR="0027138A" w:rsidRPr="00572A5E">
        <w:rPr>
          <w:rFonts w:ascii="Times New Roman" w:eastAsia="標楷體" w:hAnsi="Times New Roman"/>
          <w:sz w:val="32"/>
          <w:szCs w:val="32"/>
        </w:rPr>
        <w:t>OTC</w:t>
      </w:r>
      <w:r w:rsidR="0027138A" w:rsidRPr="00572A5E">
        <w:rPr>
          <w:rFonts w:ascii="Times New Roman" w:eastAsia="標楷體" w:hAnsi="標楷體" w:hint="eastAsia"/>
          <w:sz w:val="32"/>
          <w:szCs w:val="32"/>
        </w:rPr>
        <w:t>衍生工具之公允價值。</w:t>
      </w:r>
    </w:p>
    <w:p w:rsidR="0027138A" w:rsidRPr="00572A5E" w:rsidRDefault="0027138A" w:rsidP="0027138A">
      <w:pPr>
        <w:pStyle w:val="1"/>
        <w:numPr>
          <w:ilvl w:val="0"/>
          <w:numId w:val="3"/>
        </w:numPr>
        <w:spacing w:line="500" w:lineRule="exact"/>
        <w:ind w:leftChars="0" w:left="709" w:hanging="709"/>
        <w:rPr>
          <w:rFonts w:ascii="標楷體" w:eastAsia="標楷體" w:hAnsi="標楷體"/>
          <w:b/>
          <w:sz w:val="32"/>
          <w:szCs w:val="32"/>
        </w:rPr>
      </w:pPr>
      <w:r w:rsidRPr="00572A5E">
        <w:rPr>
          <w:rFonts w:ascii="標楷體" w:eastAsia="標楷體" w:hAnsi="標楷體" w:hint="eastAsia"/>
          <w:b/>
          <w:sz w:val="32"/>
          <w:szCs w:val="32"/>
        </w:rPr>
        <w:t>資料來源</w:t>
      </w:r>
    </w:p>
    <w:p w:rsidR="0027138A" w:rsidRDefault="0027138A" w:rsidP="00482A6A">
      <w:pPr>
        <w:numPr>
          <w:ilvl w:val="3"/>
          <w:numId w:val="3"/>
        </w:numPr>
        <w:tabs>
          <w:tab w:val="clear" w:pos="2629"/>
        </w:tabs>
        <w:spacing w:before="100" w:after="100" w:line="400" w:lineRule="auto"/>
        <w:ind w:left="966" w:hanging="426"/>
        <w:rPr>
          <w:rFonts w:ascii="Times New Roman" w:eastAsia="標楷體" w:hAnsi="標楷體"/>
          <w:sz w:val="32"/>
          <w:szCs w:val="32"/>
        </w:rPr>
      </w:pPr>
      <w:r w:rsidRPr="00572A5E">
        <w:rPr>
          <w:rFonts w:ascii="Times New Roman" w:eastAsia="標楷體" w:hAnsi="Times New Roman"/>
          <w:sz w:val="32"/>
          <w:szCs w:val="32"/>
        </w:rPr>
        <w:t>IFRS 13</w:t>
      </w:r>
      <w:r w:rsidRPr="00572A5E">
        <w:rPr>
          <w:rFonts w:ascii="Times New Roman" w:eastAsia="標楷體" w:hAnsi="標楷體" w:hint="eastAsia"/>
          <w:sz w:val="32"/>
          <w:szCs w:val="32"/>
        </w:rPr>
        <w:t>「公允價值衡量」。</w:t>
      </w:r>
    </w:p>
    <w:p w:rsidR="00482A6A" w:rsidRPr="00482A6A" w:rsidRDefault="00482A6A" w:rsidP="00482A6A">
      <w:pPr>
        <w:numPr>
          <w:ilvl w:val="3"/>
          <w:numId w:val="3"/>
        </w:numPr>
        <w:tabs>
          <w:tab w:val="clear" w:pos="2629"/>
        </w:tabs>
        <w:spacing w:before="100" w:after="100" w:line="400" w:lineRule="auto"/>
        <w:ind w:left="966" w:hanging="426"/>
        <w:rPr>
          <w:rFonts w:ascii="Times New Roman" w:eastAsia="標楷體" w:hAnsi="標楷體"/>
          <w:sz w:val="32"/>
          <w:szCs w:val="32"/>
        </w:rPr>
      </w:pPr>
      <w:r w:rsidRPr="00482A6A">
        <w:rPr>
          <w:rFonts w:ascii="Times New Roman" w:eastAsia="標楷體" w:hAnsi="Times New Roman" w:hint="eastAsia"/>
          <w:sz w:val="32"/>
          <w:szCs w:val="32"/>
        </w:rPr>
        <w:t>國際評價準則委員會</w:t>
      </w:r>
      <w:r w:rsidRPr="00482A6A">
        <w:rPr>
          <w:rFonts w:ascii="Times New Roman" w:eastAsia="標楷體" w:hAnsi="Times New Roman" w:hint="eastAsia"/>
          <w:sz w:val="32"/>
          <w:szCs w:val="32"/>
        </w:rPr>
        <w:t>(IVSC)</w:t>
      </w:r>
      <w:r w:rsidRPr="00482A6A">
        <w:rPr>
          <w:rFonts w:ascii="Times New Roman" w:eastAsia="標楷體" w:hAnsi="Times New Roman" w:hint="eastAsia"/>
          <w:sz w:val="32"/>
          <w:szCs w:val="32"/>
        </w:rPr>
        <w:t>之</w:t>
      </w:r>
      <w:r w:rsidRPr="00482A6A">
        <w:rPr>
          <w:rFonts w:ascii="Times New Roman" w:eastAsia="標楷體" w:hAnsi="Times New Roman" w:hint="eastAsia"/>
          <w:sz w:val="32"/>
          <w:szCs w:val="32"/>
        </w:rPr>
        <w:t>Credit/Debit Valuation Adjustment</w:t>
      </w:r>
      <w:r w:rsidRPr="00482A6A">
        <w:rPr>
          <w:rFonts w:ascii="Times New Roman" w:eastAsia="標楷體" w:hAnsi="Times New Roman" w:hint="eastAsia"/>
          <w:sz w:val="32"/>
          <w:szCs w:val="32"/>
        </w:rPr>
        <w:t>草案（</w:t>
      </w:r>
      <w:r w:rsidRPr="00482A6A">
        <w:rPr>
          <w:rFonts w:ascii="Times New Roman" w:eastAsia="標楷體" w:hAnsi="Times New Roman" w:hint="eastAsia"/>
          <w:sz w:val="32"/>
          <w:szCs w:val="32"/>
        </w:rPr>
        <w:t>2013</w:t>
      </w:r>
      <w:r w:rsidRPr="00482A6A">
        <w:rPr>
          <w:rFonts w:ascii="Times New Roman" w:eastAsia="標楷體" w:hAnsi="Times New Roman" w:hint="eastAsia"/>
          <w:sz w:val="32"/>
          <w:szCs w:val="32"/>
        </w:rPr>
        <w:t>年</w:t>
      </w:r>
      <w:r w:rsidRPr="00482A6A">
        <w:rPr>
          <w:rFonts w:ascii="Times New Roman" w:eastAsia="標楷體" w:hAnsi="Times New Roman" w:hint="eastAsia"/>
          <w:sz w:val="32"/>
          <w:szCs w:val="32"/>
        </w:rPr>
        <w:t>12</w:t>
      </w:r>
      <w:r w:rsidRPr="00482A6A">
        <w:rPr>
          <w:rFonts w:ascii="Times New Roman" w:eastAsia="標楷體" w:hAnsi="Times New Roman" w:hint="eastAsia"/>
          <w:sz w:val="32"/>
          <w:szCs w:val="32"/>
        </w:rPr>
        <w:t>月）</w:t>
      </w:r>
    </w:p>
    <w:p w:rsidR="00482A6A" w:rsidRPr="003A3323" w:rsidRDefault="00482A6A" w:rsidP="00482A6A">
      <w:pPr>
        <w:numPr>
          <w:ilvl w:val="3"/>
          <w:numId w:val="3"/>
        </w:numPr>
        <w:tabs>
          <w:tab w:val="clear" w:pos="2629"/>
        </w:tabs>
        <w:spacing w:before="100" w:after="100" w:line="400" w:lineRule="auto"/>
        <w:ind w:left="966" w:hanging="426"/>
        <w:rPr>
          <w:rFonts w:ascii="Times New Roman" w:eastAsia="標楷體" w:hAnsi="標楷體"/>
          <w:sz w:val="32"/>
          <w:szCs w:val="32"/>
        </w:rPr>
      </w:pPr>
      <w:r w:rsidRPr="00482A6A">
        <w:rPr>
          <w:rFonts w:ascii="Times New Roman" w:eastAsia="標楷體" w:hAnsi="Times New Roman" w:hint="eastAsia"/>
          <w:sz w:val="32"/>
          <w:szCs w:val="32"/>
        </w:rPr>
        <w:t>KPMG</w:t>
      </w:r>
      <w:r w:rsidRPr="00482A6A">
        <w:rPr>
          <w:rFonts w:ascii="Times New Roman" w:eastAsia="標楷體" w:hAnsi="Times New Roman" w:hint="eastAsia"/>
          <w:sz w:val="32"/>
          <w:szCs w:val="32"/>
        </w:rPr>
        <w:t>之</w:t>
      </w:r>
      <w:r w:rsidRPr="00482A6A">
        <w:rPr>
          <w:rFonts w:ascii="Times New Roman" w:eastAsia="標楷體" w:hAnsi="Times New Roman" w:hint="eastAsia"/>
          <w:sz w:val="32"/>
          <w:szCs w:val="32"/>
        </w:rPr>
        <w:t>IFRS Practice Issues for Banks</w:t>
      </w:r>
      <w:r w:rsidRPr="00482A6A">
        <w:rPr>
          <w:rFonts w:ascii="Times New Roman" w:eastAsia="標楷體" w:hAnsi="Times New Roman" w:hint="eastAsia"/>
          <w:sz w:val="32"/>
          <w:szCs w:val="32"/>
        </w:rPr>
        <w:t>：</w:t>
      </w:r>
      <w:r w:rsidRPr="00482A6A">
        <w:rPr>
          <w:rFonts w:ascii="Times New Roman" w:eastAsia="標楷體" w:hAnsi="Times New Roman" w:hint="eastAsia"/>
          <w:sz w:val="32"/>
          <w:szCs w:val="32"/>
        </w:rPr>
        <w:t xml:space="preserve">Fair Value </w:t>
      </w:r>
      <w:r w:rsidRPr="00482A6A">
        <w:rPr>
          <w:rFonts w:ascii="Times New Roman" w:eastAsia="標楷體" w:hAnsi="Times New Roman" w:hint="eastAsia"/>
          <w:sz w:val="32"/>
          <w:szCs w:val="32"/>
        </w:rPr>
        <w:lastRenderedPageBreak/>
        <w:t>Measurement of Derivatives-the Basics (2012</w:t>
      </w:r>
      <w:r w:rsidRPr="00482A6A">
        <w:rPr>
          <w:rFonts w:ascii="Times New Roman" w:eastAsia="標楷體" w:hAnsi="Times New Roman" w:hint="eastAsia"/>
          <w:sz w:val="32"/>
          <w:szCs w:val="32"/>
        </w:rPr>
        <w:t>年</w:t>
      </w:r>
      <w:r w:rsidRPr="00482A6A">
        <w:rPr>
          <w:rFonts w:ascii="Times New Roman" w:eastAsia="標楷體" w:hAnsi="Times New Roman" w:hint="eastAsia"/>
          <w:sz w:val="32"/>
          <w:szCs w:val="32"/>
        </w:rPr>
        <w:t>9</w:t>
      </w:r>
      <w:r w:rsidRPr="00482A6A">
        <w:rPr>
          <w:rFonts w:ascii="Times New Roman" w:eastAsia="標楷體" w:hAnsi="Times New Roman" w:hint="eastAsia"/>
          <w:sz w:val="32"/>
          <w:szCs w:val="32"/>
        </w:rPr>
        <w:t>月</w:t>
      </w:r>
      <w:r w:rsidRPr="00482A6A">
        <w:rPr>
          <w:rFonts w:ascii="Times New Roman" w:eastAsia="標楷體" w:hAnsi="Times New Roman" w:hint="eastAsia"/>
          <w:sz w:val="32"/>
          <w:szCs w:val="32"/>
        </w:rPr>
        <w:t>)</w:t>
      </w:r>
    </w:p>
    <w:p w:rsidR="003A3323" w:rsidRPr="003A3323" w:rsidRDefault="003A3323" w:rsidP="00482A6A">
      <w:pPr>
        <w:numPr>
          <w:ilvl w:val="3"/>
          <w:numId w:val="3"/>
        </w:numPr>
        <w:tabs>
          <w:tab w:val="clear" w:pos="2629"/>
        </w:tabs>
        <w:spacing w:before="100" w:after="100" w:line="400" w:lineRule="auto"/>
        <w:ind w:left="966" w:hanging="426"/>
        <w:rPr>
          <w:rFonts w:ascii="Times New Roman" w:eastAsia="標楷體" w:hAnsi="Times New Roman"/>
          <w:sz w:val="32"/>
          <w:szCs w:val="32"/>
        </w:rPr>
      </w:pPr>
      <w:r>
        <w:rPr>
          <w:rFonts w:ascii="Times New Roman" w:eastAsia="標楷體" w:hAnsi="Times New Roman" w:hint="eastAsia"/>
          <w:sz w:val="32"/>
          <w:szCs w:val="32"/>
        </w:rPr>
        <w:t>Ernst &amp; Young</w:t>
      </w:r>
      <w:r>
        <w:rPr>
          <w:rFonts w:ascii="Times New Roman" w:eastAsia="標楷體" w:hAnsi="Times New Roman" w:hint="eastAsia"/>
          <w:sz w:val="32"/>
          <w:szCs w:val="32"/>
        </w:rPr>
        <w:t>之</w:t>
      </w:r>
      <w:r w:rsidRPr="003A3323">
        <w:rPr>
          <w:rFonts w:ascii="Times New Roman" w:eastAsia="標楷體" w:hAnsi="Times New Roman"/>
          <w:sz w:val="32"/>
          <w:szCs w:val="32"/>
        </w:rPr>
        <w:t>Credit valuation adjustments for derivatives contracts</w:t>
      </w:r>
      <w:r>
        <w:rPr>
          <w:rFonts w:ascii="Times New Roman" w:eastAsia="標楷體" w:hAnsi="Times New Roman" w:hint="eastAsia"/>
          <w:sz w:val="32"/>
          <w:szCs w:val="32"/>
        </w:rPr>
        <w:t xml:space="preserve"> (2014</w:t>
      </w:r>
      <w:r>
        <w:rPr>
          <w:rFonts w:ascii="Times New Roman" w:eastAsia="標楷體" w:hAnsi="Times New Roman" w:hint="eastAsia"/>
          <w:sz w:val="32"/>
          <w:szCs w:val="32"/>
        </w:rPr>
        <w:t>年</w:t>
      </w:r>
      <w:r w:rsidR="0059408C">
        <w:rPr>
          <w:rFonts w:ascii="Times New Roman" w:eastAsia="標楷體" w:hAnsi="Times New Roman" w:hint="eastAsia"/>
          <w:sz w:val="32"/>
          <w:szCs w:val="32"/>
        </w:rPr>
        <w:t>4</w:t>
      </w:r>
      <w:r>
        <w:rPr>
          <w:rFonts w:ascii="Times New Roman" w:eastAsia="標楷體" w:hAnsi="Times New Roman" w:hint="eastAsia"/>
          <w:sz w:val="32"/>
          <w:szCs w:val="32"/>
        </w:rPr>
        <w:t>月</w:t>
      </w:r>
      <w:r>
        <w:rPr>
          <w:rFonts w:ascii="Times New Roman" w:eastAsia="標楷體" w:hAnsi="Times New Roman" w:hint="eastAsia"/>
          <w:sz w:val="32"/>
          <w:szCs w:val="32"/>
        </w:rPr>
        <w:t>)</w:t>
      </w:r>
    </w:p>
    <w:p w:rsidR="00482A6A" w:rsidRPr="0059408C" w:rsidRDefault="00482A6A" w:rsidP="00482A6A">
      <w:pPr>
        <w:numPr>
          <w:ilvl w:val="3"/>
          <w:numId w:val="3"/>
        </w:numPr>
        <w:tabs>
          <w:tab w:val="clear" w:pos="2629"/>
        </w:tabs>
        <w:spacing w:before="100" w:after="100" w:line="400" w:lineRule="auto"/>
        <w:ind w:left="966" w:hanging="426"/>
        <w:rPr>
          <w:rFonts w:ascii="Times New Roman" w:eastAsia="標楷體" w:hAnsi="Times New Roman"/>
          <w:sz w:val="32"/>
          <w:szCs w:val="32"/>
        </w:rPr>
      </w:pPr>
      <w:r w:rsidRPr="00482A6A">
        <w:rPr>
          <w:rFonts w:ascii="Times New Roman" w:eastAsia="標楷體" w:hAnsi="Times New Roman" w:hint="eastAsia"/>
          <w:sz w:val="32"/>
          <w:szCs w:val="32"/>
        </w:rPr>
        <w:t>Jon Gregory</w:t>
      </w:r>
      <w:proofErr w:type="gramStart"/>
      <w:r w:rsidRPr="00482A6A">
        <w:rPr>
          <w:rFonts w:ascii="Times New Roman" w:eastAsia="標楷體" w:hAnsi="Times New Roman" w:hint="eastAsia"/>
          <w:sz w:val="32"/>
          <w:szCs w:val="32"/>
        </w:rPr>
        <w:t>所著</w:t>
      </w:r>
      <w:proofErr w:type="gramEnd"/>
      <w:r w:rsidRPr="00482A6A">
        <w:rPr>
          <w:rFonts w:ascii="Times New Roman" w:eastAsia="標楷體" w:hAnsi="Times New Roman" w:hint="eastAsia"/>
          <w:sz w:val="32"/>
          <w:szCs w:val="32"/>
        </w:rPr>
        <w:t xml:space="preserve">Counterparty Credit Risk and Credit Value Adjustment: A Continuing Challenge for Global Financial </w:t>
      </w:r>
      <w:r w:rsidRPr="001A5AF2">
        <w:rPr>
          <w:rFonts w:ascii="標楷體" w:eastAsia="標楷體" w:hAnsi="標楷體" w:hint="eastAsia"/>
          <w:i/>
          <w:color w:val="000000"/>
          <w:sz w:val="28"/>
          <w:szCs w:val="28"/>
        </w:rPr>
        <w:t>Market</w:t>
      </w:r>
      <w:r w:rsidRPr="001A5AF2">
        <w:rPr>
          <w:rFonts w:ascii="標楷體" w:eastAsia="標楷體" w:hAnsi="標楷體" w:hint="eastAsia"/>
          <w:color w:val="000000"/>
          <w:sz w:val="28"/>
          <w:szCs w:val="28"/>
        </w:rPr>
        <w:t xml:space="preserve"> </w:t>
      </w:r>
      <w:r w:rsidRPr="0059408C">
        <w:rPr>
          <w:rFonts w:ascii="Times New Roman" w:eastAsia="標楷體" w:hAnsi="Times New Roman" w:hint="eastAsia"/>
          <w:sz w:val="32"/>
          <w:szCs w:val="32"/>
        </w:rPr>
        <w:t>(2012</w:t>
      </w:r>
      <w:r w:rsidRPr="0059408C">
        <w:rPr>
          <w:rFonts w:ascii="Times New Roman" w:eastAsia="標楷體" w:hAnsi="Times New Roman" w:hint="eastAsia"/>
          <w:sz w:val="32"/>
          <w:szCs w:val="32"/>
        </w:rPr>
        <w:t>年</w:t>
      </w:r>
      <w:r w:rsidRPr="0059408C">
        <w:rPr>
          <w:rFonts w:ascii="Times New Roman" w:eastAsia="標楷體" w:hAnsi="Times New Roman" w:hint="eastAsia"/>
          <w:sz w:val="32"/>
          <w:szCs w:val="32"/>
        </w:rPr>
        <w:t>8</w:t>
      </w:r>
      <w:r w:rsidRPr="0059408C">
        <w:rPr>
          <w:rFonts w:ascii="Times New Roman" w:eastAsia="標楷體" w:hAnsi="Times New Roman" w:hint="eastAsia"/>
          <w:sz w:val="32"/>
          <w:szCs w:val="32"/>
        </w:rPr>
        <w:t>月</w:t>
      </w:r>
      <w:r w:rsidRPr="0059408C">
        <w:rPr>
          <w:rFonts w:ascii="Times New Roman" w:eastAsia="標楷體" w:hAnsi="Times New Roman" w:hint="eastAsia"/>
          <w:sz w:val="32"/>
          <w:szCs w:val="32"/>
        </w:rPr>
        <w:t>)</w:t>
      </w:r>
    </w:p>
    <w:p w:rsidR="00B849BF" w:rsidRDefault="0027138A" w:rsidP="0027138A">
      <w:pPr>
        <w:pStyle w:val="1"/>
        <w:numPr>
          <w:ilvl w:val="0"/>
          <w:numId w:val="3"/>
        </w:numPr>
        <w:spacing w:line="500" w:lineRule="exact"/>
        <w:ind w:leftChars="0" w:left="709" w:hanging="709"/>
        <w:rPr>
          <w:rFonts w:ascii="標楷體" w:eastAsia="標楷體" w:hAnsi="標楷體"/>
          <w:b/>
          <w:sz w:val="32"/>
          <w:szCs w:val="32"/>
        </w:rPr>
      </w:pPr>
      <w:r w:rsidRPr="00572A5E">
        <w:rPr>
          <w:rFonts w:ascii="Times New Roman" w:eastAsia="標楷體" w:hAnsi="Times New Roman" w:hint="eastAsia"/>
          <w:b/>
          <w:sz w:val="32"/>
          <w:szCs w:val="32"/>
        </w:rPr>
        <w:t>其他：</w:t>
      </w:r>
      <w:r w:rsidRPr="00995825">
        <w:rPr>
          <w:rFonts w:ascii="標楷體" w:eastAsia="標楷體" w:hAnsi="標楷體" w:hint="eastAsia"/>
          <w:b/>
          <w:sz w:val="32"/>
          <w:szCs w:val="32"/>
        </w:rPr>
        <w:t>宣導會講義及</w:t>
      </w:r>
      <w:proofErr w:type="spellStart"/>
      <w:r w:rsidRPr="00995825">
        <w:rPr>
          <w:rFonts w:ascii="標楷體" w:eastAsia="標楷體" w:hAnsi="標楷體"/>
          <w:b/>
          <w:sz w:val="32"/>
          <w:szCs w:val="32"/>
        </w:rPr>
        <w:t>Webpro</w:t>
      </w:r>
      <w:proofErr w:type="spellEnd"/>
      <w:r w:rsidRPr="00995825">
        <w:rPr>
          <w:rFonts w:ascii="標楷體" w:eastAsia="標楷體" w:hAnsi="標楷體" w:hint="eastAsia"/>
          <w:b/>
          <w:sz w:val="32"/>
          <w:szCs w:val="32"/>
        </w:rPr>
        <w:t>影音連結。</w:t>
      </w:r>
    </w:p>
    <w:p w:rsidR="0005443D" w:rsidRDefault="0005443D" w:rsidP="0027138A">
      <w:pPr>
        <w:pStyle w:val="1"/>
        <w:numPr>
          <w:ilvl w:val="0"/>
          <w:numId w:val="3"/>
        </w:numPr>
        <w:spacing w:line="500" w:lineRule="exact"/>
        <w:ind w:leftChars="0" w:left="709" w:hanging="709"/>
        <w:rPr>
          <w:rFonts w:ascii="標楷體" w:eastAsia="標楷體" w:hAnsi="標楷體"/>
          <w:b/>
          <w:sz w:val="32"/>
          <w:szCs w:val="32"/>
        </w:rPr>
      </w:pPr>
      <w:r>
        <w:rPr>
          <w:rFonts w:ascii="Times New Roman" w:eastAsia="標楷體" w:hAnsi="Times New Roman" w:hint="eastAsia"/>
          <w:b/>
          <w:sz w:val="32"/>
          <w:szCs w:val="32"/>
        </w:rPr>
        <w:t>更新日期：</w:t>
      </w:r>
      <w:r w:rsidR="0050620D">
        <w:rPr>
          <w:rFonts w:ascii="Times New Roman" w:eastAsia="標楷體" w:hAnsi="Times New Roman" w:hint="eastAsia"/>
          <w:b/>
          <w:sz w:val="32"/>
          <w:szCs w:val="32"/>
        </w:rPr>
        <w:t>103</w:t>
      </w:r>
      <w:r>
        <w:rPr>
          <w:rFonts w:ascii="Times New Roman" w:eastAsia="標楷體" w:hAnsi="Times New Roman" w:hint="eastAsia"/>
          <w:b/>
          <w:sz w:val="32"/>
          <w:szCs w:val="32"/>
        </w:rPr>
        <w:t>年</w:t>
      </w:r>
      <w:r>
        <w:rPr>
          <w:rFonts w:ascii="Times New Roman" w:eastAsia="標楷體" w:hAnsi="Times New Roman" w:hint="eastAsia"/>
          <w:b/>
          <w:sz w:val="32"/>
          <w:szCs w:val="32"/>
        </w:rPr>
        <w:t>11</w:t>
      </w:r>
      <w:r>
        <w:rPr>
          <w:rFonts w:ascii="Times New Roman" w:eastAsia="標楷體" w:hAnsi="Times New Roman" w:hint="eastAsia"/>
          <w:b/>
          <w:sz w:val="32"/>
          <w:szCs w:val="32"/>
        </w:rPr>
        <w:t>月</w:t>
      </w:r>
      <w:r>
        <w:rPr>
          <w:rFonts w:ascii="Times New Roman" w:eastAsia="標楷體" w:hAnsi="Times New Roman" w:hint="eastAsia"/>
          <w:b/>
          <w:sz w:val="32"/>
          <w:szCs w:val="32"/>
        </w:rPr>
        <w:t>1</w:t>
      </w:r>
      <w:r w:rsidR="001A474A">
        <w:rPr>
          <w:rFonts w:ascii="Times New Roman" w:eastAsia="標楷體" w:hAnsi="Times New Roman" w:hint="eastAsia"/>
          <w:b/>
          <w:sz w:val="32"/>
          <w:szCs w:val="32"/>
        </w:rPr>
        <w:t>4</w:t>
      </w:r>
      <w:r>
        <w:rPr>
          <w:rFonts w:ascii="Times New Roman" w:eastAsia="標楷體" w:hAnsi="Times New Roman" w:hint="eastAsia"/>
          <w:b/>
          <w:sz w:val="32"/>
          <w:szCs w:val="32"/>
        </w:rPr>
        <w:t>日</w:t>
      </w:r>
      <w:r w:rsidR="00E66905">
        <w:rPr>
          <w:rFonts w:ascii="標楷體" w:eastAsia="標楷體" w:hAnsi="標楷體" w:hint="eastAsia"/>
          <w:b/>
          <w:sz w:val="32"/>
          <w:szCs w:val="32"/>
        </w:rPr>
        <w:t>。</w:t>
      </w:r>
    </w:p>
    <w:p w:rsidR="00D06EDF" w:rsidRDefault="00D06EDF" w:rsidP="00D06EDF">
      <w:pPr>
        <w:jc w:val="center"/>
        <w:rPr>
          <w:rFonts w:eastAsia="標楷體"/>
          <w:kern w:val="0"/>
        </w:rPr>
      </w:pPr>
    </w:p>
    <w:p w:rsidR="0027138A" w:rsidRPr="00B849BF" w:rsidRDefault="0027138A" w:rsidP="00B849BF">
      <w:pPr>
        <w:widowControl/>
        <w:spacing w:line="240" w:lineRule="exact"/>
        <w:ind w:left="28"/>
        <w:rPr>
          <w:rFonts w:eastAsia="標楷體" w:hAnsi="標楷體"/>
          <w:kern w:val="0"/>
          <w:sz w:val="20"/>
          <w:szCs w:val="20"/>
        </w:rPr>
      </w:pPr>
    </w:p>
    <w:sectPr w:rsidR="0027138A" w:rsidRPr="00B849BF" w:rsidSect="008652BE">
      <w:footerReference w:type="default" r:id="rId8"/>
      <w:pgSz w:w="11906" w:h="16838"/>
      <w:pgMar w:top="1191" w:right="1287" w:bottom="851" w:left="12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8D" w:rsidRDefault="00D1208D">
      <w:r>
        <w:separator/>
      </w:r>
    </w:p>
  </w:endnote>
  <w:endnote w:type="continuationSeparator" w:id="0">
    <w:p w:rsidR="00D1208D" w:rsidRDefault="00D12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618"/>
      <w:docPartObj>
        <w:docPartGallery w:val="Page Numbers (Bottom of Page)"/>
        <w:docPartUnique/>
      </w:docPartObj>
    </w:sdtPr>
    <w:sdtContent>
      <w:p w:rsidR="00CA1288" w:rsidRDefault="00A97148">
        <w:pPr>
          <w:pStyle w:val="a6"/>
          <w:jc w:val="center"/>
        </w:pPr>
        <w:r w:rsidRPr="00A97148">
          <w:fldChar w:fldCharType="begin"/>
        </w:r>
        <w:r w:rsidR="00EA1626">
          <w:instrText xml:space="preserve"> PAGE   \* MERGEFORMAT </w:instrText>
        </w:r>
        <w:r w:rsidRPr="00A97148">
          <w:fldChar w:fldCharType="separate"/>
        </w:r>
        <w:r w:rsidR="00C6162B" w:rsidRPr="00C6162B">
          <w:rPr>
            <w:noProof/>
            <w:lang w:val="zh-TW"/>
          </w:rPr>
          <w:t>1</w:t>
        </w:r>
        <w:r>
          <w:rPr>
            <w:noProof/>
            <w:lang w:val="zh-TW"/>
          </w:rPr>
          <w:fldChar w:fldCharType="end"/>
        </w:r>
      </w:p>
    </w:sdtContent>
  </w:sdt>
  <w:p w:rsidR="00CA1288" w:rsidRDefault="00CA12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8D" w:rsidRDefault="00D1208D">
      <w:r>
        <w:separator/>
      </w:r>
    </w:p>
  </w:footnote>
  <w:footnote w:type="continuationSeparator" w:id="0">
    <w:p w:rsidR="00D1208D" w:rsidRDefault="00D12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DFD"/>
    <w:multiLevelType w:val="hybridMultilevel"/>
    <w:tmpl w:val="BA20039E"/>
    <w:lvl w:ilvl="0" w:tplc="20B4018A">
      <w:start w:val="1"/>
      <w:numFmt w:val="taiwaneseCountingThousand"/>
      <w:lvlText w:val="%1、"/>
      <w:lvlJc w:val="left"/>
      <w:pPr>
        <w:ind w:left="1189" w:hanging="480"/>
      </w:pPr>
      <w:rPr>
        <w:rFonts w:cs="Times New Roman" w:hint="eastAsia"/>
        <w:b/>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start w:val="1"/>
      <w:numFmt w:val="decimal"/>
      <w:lvlText w:val="%4."/>
      <w:lvlJc w:val="left"/>
      <w:pPr>
        <w:tabs>
          <w:tab w:val="num" w:pos="2629"/>
        </w:tabs>
        <w:ind w:left="2629" w:hanging="480"/>
      </w:pPr>
      <w:rPr>
        <w:rFonts w:hint="eastAsia"/>
        <w:b/>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217D724F"/>
    <w:multiLevelType w:val="hybridMultilevel"/>
    <w:tmpl w:val="F956FA9A"/>
    <w:lvl w:ilvl="0" w:tplc="B614CA34">
      <w:start w:val="1"/>
      <w:numFmt w:val="decimal"/>
      <w:lvlText w:val="%1."/>
      <w:lvlJc w:val="left"/>
      <w:pPr>
        <w:tabs>
          <w:tab w:val="num" w:pos="927"/>
        </w:tabs>
        <w:ind w:left="927" w:hanging="360"/>
      </w:pPr>
      <w:rPr>
        <w:rFonts w:cs="Times New Roman" w:hint="default"/>
      </w:rPr>
    </w:lvl>
    <w:lvl w:ilvl="1" w:tplc="BE4AAFAE">
      <w:start w:val="1"/>
      <w:numFmt w:val="decimal"/>
      <w:lvlText w:val="(%2)"/>
      <w:lvlJc w:val="left"/>
      <w:pPr>
        <w:tabs>
          <w:tab w:val="num" w:pos="1407"/>
        </w:tabs>
        <w:ind w:left="1407" w:hanging="360"/>
      </w:pPr>
      <w:rPr>
        <w:rFonts w:ascii="Georgia" w:hAnsi="Georgia" w:cs="Times New Roman" w:hint="default"/>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2">
    <w:nsid w:val="5E2863D9"/>
    <w:multiLevelType w:val="hybridMultilevel"/>
    <w:tmpl w:val="6136ABA8"/>
    <w:lvl w:ilvl="0" w:tplc="CC5A42A0">
      <w:start w:val="1"/>
      <w:numFmt w:val="decimal"/>
      <w:lvlText w:val="%1."/>
      <w:lvlJc w:val="left"/>
      <w:pPr>
        <w:tabs>
          <w:tab w:val="num" w:pos="375"/>
        </w:tabs>
        <w:ind w:left="375" w:hanging="375"/>
      </w:pPr>
      <w:rPr>
        <w:rFonts w:ascii="Times New Roman" w:eastAsia="標楷體" w:hAnsi="Times New Roman" w:cs="Times New Roman" w:hint="default"/>
        <w:sz w:val="32"/>
      </w:rPr>
    </w:lvl>
    <w:lvl w:ilvl="1" w:tplc="E0969BF6">
      <w:start w:val="1"/>
      <w:numFmt w:val="decimal"/>
      <w:lvlText w:val="(%2)"/>
      <w:lvlJc w:val="left"/>
      <w:pPr>
        <w:tabs>
          <w:tab w:val="num" w:pos="1495"/>
        </w:tabs>
        <w:ind w:left="1495" w:hanging="36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647C3766"/>
    <w:multiLevelType w:val="multilevel"/>
    <w:tmpl w:val="402C2F74"/>
    <w:lvl w:ilvl="0">
      <w:start w:val="1"/>
      <w:numFmt w:val="decimal"/>
      <w:lvlText w:val="%1."/>
      <w:lvlJc w:val="left"/>
      <w:pPr>
        <w:tabs>
          <w:tab w:val="num" w:pos="927"/>
        </w:tabs>
        <w:ind w:left="927" w:hanging="360"/>
      </w:pPr>
      <w:rPr>
        <w:rFonts w:cs="Times New Roman" w:hint="default"/>
      </w:rPr>
    </w:lvl>
    <w:lvl w:ilvl="1">
      <w:start w:val="1"/>
      <w:numFmt w:val="decimal"/>
      <w:lvlText w:val="(%2)"/>
      <w:lvlJc w:val="left"/>
      <w:pPr>
        <w:tabs>
          <w:tab w:val="num" w:pos="1407"/>
        </w:tabs>
        <w:ind w:left="1407" w:hanging="360"/>
      </w:pPr>
      <w:rPr>
        <w:rFonts w:ascii="Georgia" w:hAnsi="Georgia" w:cs="Times New Roman" w:hint="default"/>
      </w:rPr>
    </w:lvl>
    <w:lvl w:ilvl="2">
      <w:start w:val="1"/>
      <w:numFmt w:val="lowerRoman"/>
      <w:lvlText w:val="%3."/>
      <w:lvlJc w:val="right"/>
      <w:pPr>
        <w:tabs>
          <w:tab w:val="num" w:pos="2007"/>
        </w:tabs>
        <w:ind w:left="2007" w:hanging="480"/>
      </w:pPr>
      <w:rPr>
        <w:rFonts w:cs="Times New Roman"/>
      </w:rPr>
    </w:lvl>
    <w:lvl w:ilvl="3">
      <w:start w:val="1"/>
      <w:numFmt w:val="decimal"/>
      <w:lvlText w:val="%4."/>
      <w:lvlJc w:val="left"/>
      <w:pPr>
        <w:tabs>
          <w:tab w:val="num" w:pos="2487"/>
        </w:tabs>
        <w:ind w:left="2487" w:hanging="480"/>
      </w:pPr>
      <w:rPr>
        <w:rFonts w:cs="Times New Roman"/>
      </w:rPr>
    </w:lvl>
    <w:lvl w:ilvl="4">
      <w:start w:val="1"/>
      <w:numFmt w:val="ideographTraditional"/>
      <w:lvlText w:val="%5、"/>
      <w:lvlJc w:val="left"/>
      <w:pPr>
        <w:tabs>
          <w:tab w:val="num" w:pos="2967"/>
        </w:tabs>
        <w:ind w:left="2967" w:hanging="480"/>
      </w:pPr>
      <w:rPr>
        <w:rFonts w:cs="Times New Roman"/>
      </w:rPr>
    </w:lvl>
    <w:lvl w:ilvl="5">
      <w:start w:val="1"/>
      <w:numFmt w:val="lowerRoman"/>
      <w:lvlText w:val="%6."/>
      <w:lvlJc w:val="right"/>
      <w:pPr>
        <w:tabs>
          <w:tab w:val="num" w:pos="3447"/>
        </w:tabs>
        <w:ind w:left="3447" w:hanging="480"/>
      </w:pPr>
      <w:rPr>
        <w:rFonts w:cs="Times New Roman"/>
      </w:rPr>
    </w:lvl>
    <w:lvl w:ilvl="6">
      <w:start w:val="1"/>
      <w:numFmt w:val="decimal"/>
      <w:lvlText w:val="%7."/>
      <w:lvlJc w:val="left"/>
      <w:pPr>
        <w:tabs>
          <w:tab w:val="num" w:pos="3927"/>
        </w:tabs>
        <w:ind w:left="3927" w:hanging="480"/>
      </w:pPr>
      <w:rPr>
        <w:rFonts w:cs="Times New Roman"/>
      </w:rPr>
    </w:lvl>
    <w:lvl w:ilvl="7">
      <w:start w:val="1"/>
      <w:numFmt w:val="ideographTraditional"/>
      <w:lvlText w:val="%8、"/>
      <w:lvlJc w:val="left"/>
      <w:pPr>
        <w:tabs>
          <w:tab w:val="num" w:pos="4407"/>
        </w:tabs>
        <w:ind w:left="4407" w:hanging="480"/>
      </w:pPr>
      <w:rPr>
        <w:rFonts w:cs="Times New Roman"/>
      </w:rPr>
    </w:lvl>
    <w:lvl w:ilvl="8">
      <w:start w:val="1"/>
      <w:numFmt w:val="lowerRoman"/>
      <w:lvlText w:val="%9."/>
      <w:lvlJc w:val="right"/>
      <w:pPr>
        <w:tabs>
          <w:tab w:val="num" w:pos="4887"/>
        </w:tabs>
        <w:ind w:left="4887" w:hanging="480"/>
      </w:pPr>
      <w:rPr>
        <w:rFonts w:cs="Times New Roman"/>
      </w:rPr>
    </w:lvl>
  </w:abstractNum>
  <w:abstractNum w:abstractNumId="4">
    <w:nsid w:val="6DB921BA"/>
    <w:multiLevelType w:val="hybridMultilevel"/>
    <w:tmpl w:val="8B6E6F9A"/>
    <w:lvl w:ilvl="0" w:tplc="DC4AB8D6">
      <w:start w:val="1"/>
      <w:numFmt w:val="decimal"/>
      <w:lvlText w:val="%1."/>
      <w:lvlJc w:val="left"/>
      <w:pPr>
        <w:tabs>
          <w:tab w:val="num" w:pos="360"/>
        </w:tabs>
        <w:ind w:left="360" w:hanging="360"/>
      </w:pPr>
      <w:rPr>
        <w:rFonts w:hint="default"/>
      </w:rPr>
    </w:lvl>
    <w:lvl w:ilvl="1" w:tplc="F84AE9B2">
      <w:start w:val="1"/>
      <w:numFmt w:val="decimal"/>
      <w:lvlText w:val="(%2)"/>
      <w:lvlJc w:val="left"/>
      <w:pPr>
        <w:tabs>
          <w:tab w:val="num" w:pos="870"/>
        </w:tabs>
        <w:ind w:left="870" w:hanging="390"/>
      </w:pPr>
      <w:rPr>
        <w:rFonts w:hint="default"/>
      </w:rPr>
    </w:lvl>
    <w:lvl w:ilvl="2" w:tplc="C73004CE">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38A"/>
    <w:rsid w:val="000022D0"/>
    <w:rsid w:val="0005443D"/>
    <w:rsid w:val="000A130F"/>
    <w:rsid w:val="001105E7"/>
    <w:rsid w:val="001369BA"/>
    <w:rsid w:val="00172031"/>
    <w:rsid w:val="001734AB"/>
    <w:rsid w:val="001738EC"/>
    <w:rsid w:val="00192ABD"/>
    <w:rsid w:val="001A474A"/>
    <w:rsid w:val="0021073C"/>
    <w:rsid w:val="00246136"/>
    <w:rsid w:val="0027138A"/>
    <w:rsid w:val="00277179"/>
    <w:rsid w:val="002A39E4"/>
    <w:rsid w:val="002D3E1A"/>
    <w:rsid w:val="002F5B15"/>
    <w:rsid w:val="0033230D"/>
    <w:rsid w:val="003323D3"/>
    <w:rsid w:val="00370D3C"/>
    <w:rsid w:val="00376066"/>
    <w:rsid w:val="003A3323"/>
    <w:rsid w:val="003C26C6"/>
    <w:rsid w:val="003C4651"/>
    <w:rsid w:val="0043069B"/>
    <w:rsid w:val="00431F06"/>
    <w:rsid w:val="00472E2E"/>
    <w:rsid w:val="00482A6A"/>
    <w:rsid w:val="004869C8"/>
    <w:rsid w:val="004A39C8"/>
    <w:rsid w:val="004B61BE"/>
    <w:rsid w:val="004B69EE"/>
    <w:rsid w:val="004F7947"/>
    <w:rsid w:val="0050620D"/>
    <w:rsid w:val="00524D03"/>
    <w:rsid w:val="0056562F"/>
    <w:rsid w:val="00572DB4"/>
    <w:rsid w:val="0059408C"/>
    <w:rsid w:val="005A7252"/>
    <w:rsid w:val="0060172C"/>
    <w:rsid w:val="00623F3E"/>
    <w:rsid w:val="006403B2"/>
    <w:rsid w:val="006407EE"/>
    <w:rsid w:val="00665C8A"/>
    <w:rsid w:val="00686E39"/>
    <w:rsid w:val="006B78E9"/>
    <w:rsid w:val="00703DE6"/>
    <w:rsid w:val="00706C2E"/>
    <w:rsid w:val="00770C0A"/>
    <w:rsid w:val="007933F3"/>
    <w:rsid w:val="007A745F"/>
    <w:rsid w:val="0081372B"/>
    <w:rsid w:val="008155B5"/>
    <w:rsid w:val="0085474D"/>
    <w:rsid w:val="0086163D"/>
    <w:rsid w:val="008652BE"/>
    <w:rsid w:val="00867931"/>
    <w:rsid w:val="008A3E0A"/>
    <w:rsid w:val="008C3F6C"/>
    <w:rsid w:val="00905A5B"/>
    <w:rsid w:val="00925088"/>
    <w:rsid w:val="009364F3"/>
    <w:rsid w:val="009430BE"/>
    <w:rsid w:val="00973A94"/>
    <w:rsid w:val="00981E4B"/>
    <w:rsid w:val="009A1033"/>
    <w:rsid w:val="009B0C08"/>
    <w:rsid w:val="009C1633"/>
    <w:rsid w:val="00A527C6"/>
    <w:rsid w:val="00A67B32"/>
    <w:rsid w:val="00A90E98"/>
    <w:rsid w:val="00A9138D"/>
    <w:rsid w:val="00A97148"/>
    <w:rsid w:val="00B064B0"/>
    <w:rsid w:val="00B103B4"/>
    <w:rsid w:val="00B23B0D"/>
    <w:rsid w:val="00B30452"/>
    <w:rsid w:val="00B475A3"/>
    <w:rsid w:val="00B53E65"/>
    <w:rsid w:val="00B849BF"/>
    <w:rsid w:val="00B962C8"/>
    <w:rsid w:val="00BB6881"/>
    <w:rsid w:val="00BB7BBC"/>
    <w:rsid w:val="00C04CD7"/>
    <w:rsid w:val="00C6162B"/>
    <w:rsid w:val="00C80EF5"/>
    <w:rsid w:val="00CA1288"/>
    <w:rsid w:val="00CA30CB"/>
    <w:rsid w:val="00CB5D35"/>
    <w:rsid w:val="00CD4540"/>
    <w:rsid w:val="00CD697B"/>
    <w:rsid w:val="00CE65B5"/>
    <w:rsid w:val="00CE722B"/>
    <w:rsid w:val="00D06EDF"/>
    <w:rsid w:val="00D1208D"/>
    <w:rsid w:val="00D37130"/>
    <w:rsid w:val="00D5621A"/>
    <w:rsid w:val="00D81885"/>
    <w:rsid w:val="00DC052A"/>
    <w:rsid w:val="00DD3135"/>
    <w:rsid w:val="00DE01C4"/>
    <w:rsid w:val="00DE7F68"/>
    <w:rsid w:val="00E1732E"/>
    <w:rsid w:val="00E2619D"/>
    <w:rsid w:val="00E41FC9"/>
    <w:rsid w:val="00E66905"/>
    <w:rsid w:val="00E94F14"/>
    <w:rsid w:val="00EA1626"/>
    <w:rsid w:val="00EA4425"/>
    <w:rsid w:val="00EB5E14"/>
    <w:rsid w:val="00EC6810"/>
    <w:rsid w:val="00ED5B00"/>
    <w:rsid w:val="00ED754B"/>
    <w:rsid w:val="00F63EE0"/>
    <w:rsid w:val="00F67E34"/>
    <w:rsid w:val="00FA1FAE"/>
    <w:rsid w:val="00FF0C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38A"/>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27138A"/>
    <w:pPr>
      <w:ind w:leftChars="200" w:left="480"/>
    </w:pPr>
  </w:style>
  <w:style w:type="paragraph" w:customStyle="1" w:styleId="10">
    <w:name w:val="樣式1"/>
    <w:basedOn w:val="a3"/>
    <w:rsid w:val="00B849BF"/>
    <w:pPr>
      <w:spacing w:before="120" w:after="120"/>
    </w:pPr>
    <w:rPr>
      <w:rFonts w:ascii="Times New Roman" w:hAnsi="Times New Roman"/>
    </w:rPr>
  </w:style>
  <w:style w:type="paragraph" w:styleId="a3">
    <w:name w:val="caption"/>
    <w:basedOn w:val="a"/>
    <w:next w:val="a"/>
    <w:qFormat/>
    <w:rsid w:val="00B849BF"/>
    <w:rPr>
      <w:sz w:val="20"/>
      <w:szCs w:val="20"/>
    </w:rPr>
  </w:style>
  <w:style w:type="paragraph" w:styleId="a4">
    <w:name w:val="header"/>
    <w:basedOn w:val="a"/>
    <w:link w:val="a5"/>
    <w:rsid w:val="00376066"/>
    <w:pPr>
      <w:tabs>
        <w:tab w:val="center" w:pos="4153"/>
        <w:tab w:val="right" w:pos="8306"/>
      </w:tabs>
      <w:snapToGrid w:val="0"/>
    </w:pPr>
    <w:rPr>
      <w:sz w:val="20"/>
      <w:szCs w:val="20"/>
    </w:rPr>
  </w:style>
  <w:style w:type="character" w:customStyle="1" w:styleId="a5">
    <w:name w:val="頁首 字元"/>
    <w:basedOn w:val="a0"/>
    <w:link w:val="a4"/>
    <w:rsid w:val="00376066"/>
    <w:rPr>
      <w:rFonts w:ascii="Calibri" w:hAnsi="Calibri"/>
      <w:kern w:val="2"/>
    </w:rPr>
  </w:style>
  <w:style w:type="paragraph" w:styleId="a6">
    <w:name w:val="footer"/>
    <w:basedOn w:val="a"/>
    <w:link w:val="a7"/>
    <w:uiPriority w:val="99"/>
    <w:rsid w:val="00376066"/>
    <w:pPr>
      <w:tabs>
        <w:tab w:val="center" w:pos="4153"/>
        <w:tab w:val="right" w:pos="8306"/>
      </w:tabs>
      <w:snapToGrid w:val="0"/>
    </w:pPr>
    <w:rPr>
      <w:sz w:val="20"/>
      <w:szCs w:val="20"/>
    </w:rPr>
  </w:style>
  <w:style w:type="character" w:customStyle="1" w:styleId="a7">
    <w:name w:val="頁尾 字元"/>
    <w:basedOn w:val="a0"/>
    <w:link w:val="a6"/>
    <w:uiPriority w:val="99"/>
    <w:rsid w:val="00376066"/>
    <w:rPr>
      <w:rFonts w:ascii="Calibri" w:hAnsi="Calibri"/>
      <w:kern w:val="2"/>
    </w:rPr>
  </w:style>
  <w:style w:type="paragraph" w:styleId="a8">
    <w:name w:val="List Paragraph"/>
    <w:basedOn w:val="a"/>
    <w:uiPriority w:val="34"/>
    <w:qFormat/>
    <w:rsid w:val="007933F3"/>
    <w:pPr>
      <w:ind w:leftChars="200" w:left="480"/>
    </w:pPr>
  </w:style>
  <w:style w:type="paragraph" w:styleId="a9">
    <w:name w:val="footnote text"/>
    <w:basedOn w:val="a"/>
    <w:link w:val="aa"/>
    <w:rsid w:val="001734AB"/>
    <w:pPr>
      <w:snapToGrid w:val="0"/>
    </w:pPr>
    <w:rPr>
      <w:sz w:val="20"/>
      <w:szCs w:val="20"/>
    </w:rPr>
  </w:style>
  <w:style w:type="character" w:customStyle="1" w:styleId="aa">
    <w:name w:val="註腳文字 字元"/>
    <w:basedOn w:val="a0"/>
    <w:link w:val="a9"/>
    <w:rsid w:val="001734AB"/>
    <w:rPr>
      <w:rFonts w:ascii="Calibri" w:hAnsi="Calibri"/>
      <w:kern w:val="2"/>
    </w:rPr>
  </w:style>
  <w:style w:type="character" w:styleId="ab">
    <w:name w:val="footnote reference"/>
    <w:basedOn w:val="a0"/>
    <w:rsid w:val="001734AB"/>
    <w:rPr>
      <w:vertAlign w:val="superscript"/>
    </w:rPr>
  </w:style>
  <w:style w:type="paragraph" w:styleId="ac">
    <w:name w:val="Balloon Text"/>
    <w:basedOn w:val="a"/>
    <w:link w:val="ad"/>
    <w:rsid w:val="00A90E98"/>
    <w:rPr>
      <w:rFonts w:asciiTheme="majorHAnsi" w:eastAsiaTheme="majorEastAsia" w:hAnsiTheme="majorHAnsi" w:cstheme="majorBidi"/>
      <w:sz w:val="18"/>
      <w:szCs w:val="18"/>
    </w:rPr>
  </w:style>
  <w:style w:type="character" w:customStyle="1" w:styleId="ad">
    <w:name w:val="註解方塊文字 字元"/>
    <w:basedOn w:val="a0"/>
    <w:link w:val="ac"/>
    <w:rsid w:val="00A90E9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38A"/>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27138A"/>
    <w:pPr>
      <w:ind w:leftChars="200" w:left="480"/>
    </w:pPr>
  </w:style>
  <w:style w:type="paragraph" w:customStyle="1" w:styleId="10">
    <w:name w:val="樣式1"/>
    <w:basedOn w:val="a3"/>
    <w:rsid w:val="00B849BF"/>
    <w:pPr>
      <w:spacing w:before="120" w:after="120"/>
    </w:pPr>
    <w:rPr>
      <w:rFonts w:ascii="Times New Roman" w:hAnsi="Times New Roman"/>
    </w:rPr>
  </w:style>
  <w:style w:type="paragraph" w:styleId="a3">
    <w:name w:val="caption"/>
    <w:basedOn w:val="a"/>
    <w:next w:val="a"/>
    <w:qFormat/>
    <w:rsid w:val="00B849BF"/>
    <w:rPr>
      <w:sz w:val="20"/>
      <w:szCs w:val="20"/>
    </w:rPr>
  </w:style>
  <w:style w:type="paragraph" w:styleId="a4">
    <w:name w:val="header"/>
    <w:basedOn w:val="a"/>
    <w:link w:val="a5"/>
    <w:rsid w:val="00376066"/>
    <w:pPr>
      <w:tabs>
        <w:tab w:val="center" w:pos="4153"/>
        <w:tab w:val="right" w:pos="8306"/>
      </w:tabs>
      <w:snapToGrid w:val="0"/>
    </w:pPr>
    <w:rPr>
      <w:sz w:val="20"/>
      <w:szCs w:val="20"/>
    </w:rPr>
  </w:style>
  <w:style w:type="character" w:customStyle="1" w:styleId="a5">
    <w:name w:val="頁首 字元"/>
    <w:basedOn w:val="a0"/>
    <w:link w:val="a4"/>
    <w:rsid w:val="00376066"/>
    <w:rPr>
      <w:rFonts w:ascii="Calibri" w:hAnsi="Calibri"/>
      <w:kern w:val="2"/>
    </w:rPr>
  </w:style>
  <w:style w:type="paragraph" w:styleId="a6">
    <w:name w:val="footer"/>
    <w:basedOn w:val="a"/>
    <w:link w:val="a7"/>
    <w:rsid w:val="00376066"/>
    <w:pPr>
      <w:tabs>
        <w:tab w:val="center" w:pos="4153"/>
        <w:tab w:val="right" w:pos="8306"/>
      </w:tabs>
      <w:snapToGrid w:val="0"/>
    </w:pPr>
    <w:rPr>
      <w:sz w:val="20"/>
      <w:szCs w:val="20"/>
    </w:rPr>
  </w:style>
  <w:style w:type="character" w:customStyle="1" w:styleId="a7">
    <w:name w:val="頁尾 字元"/>
    <w:basedOn w:val="a0"/>
    <w:link w:val="a6"/>
    <w:rsid w:val="00376066"/>
    <w:rPr>
      <w:rFonts w:ascii="Calibri" w:hAnsi="Calibri"/>
      <w:kern w:val="2"/>
    </w:rPr>
  </w:style>
  <w:style w:type="paragraph" w:styleId="a8">
    <w:name w:val="List Paragraph"/>
    <w:basedOn w:val="a"/>
    <w:uiPriority w:val="34"/>
    <w:qFormat/>
    <w:rsid w:val="007933F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C70-9644-4BB1-ABCB-DA1015EA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1739</Characters>
  <Application>Microsoft Office Word</Application>
  <DocSecurity>0</DocSecurity>
  <Lines>14</Lines>
  <Paragraphs>4</Paragraphs>
  <ScaleCrop>false</ScaleCrop>
  <Company>Hewlett-Packard Company</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13有關CVA, DVA, OCA相關揭露指引</dc:title>
  <dc:creator>user</dc:creator>
  <cp:lastModifiedBy>00</cp:lastModifiedBy>
  <cp:revision>4</cp:revision>
  <dcterms:created xsi:type="dcterms:W3CDTF">2014-11-19T02:54:00Z</dcterms:created>
  <dcterms:modified xsi:type="dcterms:W3CDTF">2014-11-19T02:57:00Z</dcterms:modified>
</cp:coreProperties>
</file>